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9BF84" w14:textId="77777777" w:rsidR="002B6EF9" w:rsidRPr="00BF0B9E" w:rsidRDefault="002B6EF9" w:rsidP="00B763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0B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REPUBLIKA HRVATSKA </w:t>
      </w:r>
    </w:p>
    <w:p w14:paraId="3794F642" w14:textId="77777777" w:rsidR="002B6EF9" w:rsidRPr="00BF0B9E" w:rsidRDefault="002B6EF9" w:rsidP="00B763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0B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OSNOVNA ŠKOLA IVANSKA</w:t>
      </w:r>
    </w:p>
    <w:p w14:paraId="68B80A81" w14:textId="77777777" w:rsidR="002B6EF9" w:rsidRPr="00BF0B9E" w:rsidRDefault="002B6EF9" w:rsidP="00B763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0B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Ulica Petra Preradovića 2, Ivanska </w:t>
      </w:r>
    </w:p>
    <w:p w14:paraId="7777F078" w14:textId="77777777" w:rsidR="002B6EF9" w:rsidRPr="00BF0B9E" w:rsidRDefault="002B6EF9" w:rsidP="00B763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0B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Tel.fax:043/227-560, 043/227-567</w:t>
      </w:r>
    </w:p>
    <w:p w14:paraId="4F51243A" w14:textId="00382241" w:rsidR="002B6EF9" w:rsidRPr="00494A62" w:rsidRDefault="002B6EF9" w:rsidP="00B763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94A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e-mail:ured@os-ivanska.skole.hr</w:t>
      </w:r>
      <w:proofErr w:type="spellEnd"/>
    </w:p>
    <w:p w14:paraId="4AECA274" w14:textId="77777777" w:rsidR="00494A62" w:rsidRPr="00494A62" w:rsidRDefault="00494A62" w:rsidP="00494A62">
      <w:pPr>
        <w:rPr>
          <w:rFonts w:ascii="Times New Roman" w:eastAsiaTheme="minorHAnsi" w:hAnsi="Times New Roman" w:cs="Times New Roman"/>
          <w:sz w:val="24"/>
          <w:szCs w:val="24"/>
        </w:rPr>
      </w:pPr>
      <w:r w:rsidRPr="00494A62">
        <w:rPr>
          <w:rFonts w:ascii="Times New Roman" w:eastAsiaTheme="minorHAnsi" w:hAnsi="Times New Roman" w:cs="Times New Roman"/>
          <w:sz w:val="24"/>
          <w:szCs w:val="24"/>
        </w:rPr>
        <w:t>KLASA: 400-04/24-01/02</w:t>
      </w:r>
    </w:p>
    <w:p w14:paraId="0486D3A3" w14:textId="28BD9808" w:rsidR="00494A62" w:rsidRPr="00494A62" w:rsidRDefault="00494A62" w:rsidP="00494A62">
      <w:pPr>
        <w:rPr>
          <w:rFonts w:ascii="Times New Roman" w:eastAsiaTheme="minorHAnsi" w:hAnsi="Times New Roman" w:cs="Times New Roman"/>
          <w:sz w:val="24"/>
          <w:szCs w:val="24"/>
        </w:rPr>
      </w:pPr>
      <w:r w:rsidRPr="00494A62">
        <w:rPr>
          <w:rFonts w:ascii="Times New Roman" w:eastAsiaTheme="minorHAnsi" w:hAnsi="Times New Roman" w:cs="Times New Roman"/>
          <w:sz w:val="24"/>
          <w:szCs w:val="24"/>
        </w:rPr>
        <w:t>URBROJ: 2103-10-06-01-24-</w:t>
      </w:r>
      <w:r>
        <w:rPr>
          <w:rFonts w:ascii="Times New Roman" w:eastAsiaTheme="minorHAnsi" w:hAnsi="Times New Roman" w:cs="Times New Roman"/>
          <w:sz w:val="24"/>
          <w:szCs w:val="24"/>
        </w:rPr>
        <w:t>7</w:t>
      </w:r>
    </w:p>
    <w:p w14:paraId="058FA60A" w14:textId="2BFDFE6E" w:rsidR="002B6EF9" w:rsidRPr="00BF0B9E" w:rsidRDefault="002B6EF9" w:rsidP="00B763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F0B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Ivanska, </w:t>
      </w:r>
      <w:r w:rsidR="00FB24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BF0B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.06.2024. </w:t>
      </w:r>
      <w:bookmarkStart w:id="0" w:name="_GoBack"/>
      <w:bookmarkEnd w:id="0"/>
    </w:p>
    <w:p w14:paraId="72E18C1F" w14:textId="77777777" w:rsidR="002B6EF9" w:rsidRPr="00B7634D" w:rsidRDefault="002B6EF9" w:rsidP="00B7634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</w:p>
    <w:p w14:paraId="3AF2CFE6" w14:textId="77777777" w:rsidR="0012141B" w:rsidRDefault="002B6EF9" w:rsidP="0012141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B7634D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OBRAZLOŽENJE I. </w:t>
      </w:r>
      <w:r w:rsidR="00BD7CDF" w:rsidRPr="00B7634D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REBALANSA </w:t>
      </w:r>
    </w:p>
    <w:p w14:paraId="3E78C9D0" w14:textId="3F1F9DBA" w:rsidR="00C41524" w:rsidRDefault="002B6EF9" w:rsidP="0012141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B7634D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FINANCIJSKOG PLANA</w:t>
      </w:r>
      <w:r w:rsidR="0012141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ZA 2024.GODINU</w:t>
      </w:r>
    </w:p>
    <w:p w14:paraId="297F310B" w14:textId="2BDD34A4" w:rsidR="0012141B" w:rsidRPr="00B7634D" w:rsidRDefault="0012141B" w:rsidP="0012141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OŠ IVANSKA</w:t>
      </w:r>
    </w:p>
    <w:p w14:paraId="45568CEE" w14:textId="53D61E69" w:rsidR="00DD7076" w:rsidRPr="00C41524" w:rsidRDefault="00C41524" w:rsidP="00B7634D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DJELOKRUG RADA: Osnovnoškolsko obrazovanje je primarni djelokrug rada. </w:t>
      </w:r>
    </w:p>
    <w:p w14:paraId="001EC84C" w14:textId="77777777" w:rsidR="00C41524" w:rsidRPr="00C41524" w:rsidRDefault="00C41524" w:rsidP="00B7634D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524">
        <w:rPr>
          <w:rFonts w:ascii="Times New Roman" w:hAnsi="Times New Roman" w:cs="Times New Roman"/>
          <w:color w:val="000000" w:themeColor="text1"/>
          <w:sz w:val="24"/>
          <w:szCs w:val="24"/>
        </w:rPr>
        <w:t>Uz obrazovanje učenika organiziran je i rad po slijedećim organizacijskim cjelinama:</w:t>
      </w:r>
    </w:p>
    <w:p w14:paraId="10E516F8" w14:textId="6C875EAF" w:rsidR="00C41524" w:rsidRPr="00C41524" w:rsidRDefault="00C41524" w:rsidP="00B7634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Školska kuhinja u </w:t>
      </w:r>
      <w:proofErr w:type="spellStart"/>
      <w:r w:rsidRPr="00C41524">
        <w:rPr>
          <w:rFonts w:ascii="Times New Roman" w:hAnsi="Times New Roman" w:cs="Times New Roman"/>
          <w:color w:val="000000" w:themeColor="text1"/>
          <w:sz w:val="24"/>
          <w:szCs w:val="24"/>
        </w:rPr>
        <w:t>Ivanskoj</w:t>
      </w:r>
      <w:proofErr w:type="spellEnd"/>
    </w:p>
    <w:p w14:paraId="3FAEE755" w14:textId="77777777" w:rsidR="00C41524" w:rsidRPr="00C41524" w:rsidRDefault="00C41524" w:rsidP="00B7634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524">
        <w:rPr>
          <w:rFonts w:ascii="Times New Roman" w:hAnsi="Times New Roman" w:cs="Times New Roman"/>
          <w:color w:val="000000" w:themeColor="text1"/>
          <w:sz w:val="24"/>
          <w:szCs w:val="24"/>
        </w:rPr>
        <w:t>Školsko-sportska dvorana</w:t>
      </w:r>
    </w:p>
    <w:p w14:paraId="33ED8D68" w14:textId="77777777" w:rsidR="00C41524" w:rsidRPr="00C41524" w:rsidRDefault="00C41524" w:rsidP="00B7634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524">
        <w:rPr>
          <w:rFonts w:ascii="Times New Roman" w:hAnsi="Times New Roman" w:cs="Times New Roman"/>
          <w:color w:val="000000" w:themeColor="text1"/>
          <w:sz w:val="24"/>
          <w:szCs w:val="24"/>
        </w:rPr>
        <w:t>Stambeni dio</w:t>
      </w:r>
    </w:p>
    <w:p w14:paraId="3B56AD57" w14:textId="77777777" w:rsidR="00C41524" w:rsidRPr="00C41524" w:rsidRDefault="00C41524" w:rsidP="00B7634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Školsko-sportski klub „Ivan </w:t>
      </w:r>
      <w:proofErr w:type="spellStart"/>
      <w:r w:rsidRPr="00C41524">
        <w:rPr>
          <w:rFonts w:ascii="Times New Roman" w:hAnsi="Times New Roman" w:cs="Times New Roman"/>
          <w:color w:val="000000" w:themeColor="text1"/>
          <w:sz w:val="24"/>
          <w:szCs w:val="24"/>
        </w:rPr>
        <w:t>Obrljan</w:t>
      </w:r>
      <w:proofErr w:type="spellEnd"/>
      <w:r w:rsidRPr="00C4152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14:paraId="0744C54A" w14:textId="77777777" w:rsidR="00C41524" w:rsidRPr="00C41524" w:rsidRDefault="00C41524" w:rsidP="00B7634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524">
        <w:rPr>
          <w:rFonts w:ascii="Times New Roman" w:hAnsi="Times New Roman" w:cs="Times New Roman"/>
          <w:color w:val="000000" w:themeColor="text1"/>
          <w:sz w:val="24"/>
          <w:szCs w:val="24"/>
        </w:rPr>
        <w:t>Ministarstvo znanosti i obrazovanja</w:t>
      </w:r>
    </w:p>
    <w:p w14:paraId="745163D3" w14:textId="77777777" w:rsidR="00C41524" w:rsidRPr="00C41524" w:rsidRDefault="00C41524" w:rsidP="00B7634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41524">
        <w:rPr>
          <w:rFonts w:ascii="Times New Roman" w:hAnsi="Times New Roman" w:cs="Times New Roman"/>
          <w:color w:val="000000" w:themeColor="text1"/>
          <w:sz w:val="24"/>
          <w:szCs w:val="24"/>
        </w:rPr>
        <w:t>Izvanučionična</w:t>
      </w:r>
      <w:proofErr w:type="spellEnd"/>
      <w:r w:rsidRPr="00C41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nastava</w:t>
      </w:r>
    </w:p>
    <w:p w14:paraId="716F7B7A" w14:textId="77777777" w:rsidR="00C41524" w:rsidRPr="00C41524" w:rsidRDefault="00C41524" w:rsidP="00B7634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1524">
        <w:rPr>
          <w:rFonts w:ascii="Times New Roman" w:hAnsi="Times New Roman" w:cs="Times New Roman"/>
          <w:color w:val="000000" w:themeColor="text1"/>
          <w:sz w:val="24"/>
          <w:szCs w:val="24"/>
        </w:rPr>
        <w:t>Udžbenici</w:t>
      </w:r>
    </w:p>
    <w:p w14:paraId="5CE0F1D4" w14:textId="46E1AD41" w:rsidR="00C41524" w:rsidRPr="00EC6DE2" w:rsidRDefault="00C41524" w:rsidP="00B7634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41524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C41524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</w:p>
    <w:p w14:paraId="1D860D53" w14:textId="68415907" w:rsidR="00C41524" w:rsidRPr="00EC6DE2" w:rsidRDefault="00C41524" w:rsidP="00B7634D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Ostala vlastita mjesta prihoda/troška   </w:t>
      </w:r>
    </w:p>
    <w:p w14:paraId="2E015409" w14:textId="77777777" w:rsidR="00DD7076" w:rsidRPr="00EC6DE2" w:rsidRDefault="00DD7076" w:rsidP="00EC6DE2">
      <w:pPr>
        <w:spacing w:after="160"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F3201C" w14:textId="3F36D77B" w:rsidR="00DD7076" w:rsidRDefault="00DD7076" w:rsidP="00B7634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2024. godinu usvojen je Financijski plan na sjednici Školskog odbora dana 30.10.2023 godine. Plan je </w:t>
      </w:r>
      <w:r w:rsidR="00B31CD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EC6DE2">
        <w:rPr>
          <w:rFonts w:ascii="Times New Roman" w:hAnsi="Times New Roman" w:cs="Times New Roman"/>
          <w:color w:val="000000" w:themeColor="text1"/>
          <w:sz w:val="24"/>
          <w:szCs w:val="24"/>
        </w:rPr>
        <w:t>ravnotežen, a sastavljen je u skladu sa limitima odobrenim od osnivača – Bjelovarsko-bilogorske županije – proračunska sredstva i planom vlastitih sredstava – vanproračunska sredstva.</w:t>
      </w:r>
    </w:p>
    <w:p w14:paraId="5A65305E" w14:textId="77777777" w:rsidR="003508AD" w:rsidRDefault="003508AD" w:rsidP="00B7634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8CC8F" w14:textId="011C582E" w:rsidR="003508AD" w:rsidRDefault="003508AD" w:rsidP="00B7634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83"/>
        <w:gridCol w:w="3581"/>
        <w:gridCol w:w="1590"/>
        <w:gridCol w:w="1496"/>
        <w:gridCol w:w="1566"/>
      </w:tblGrid>
      <w:tr w:rsidR="003508AD" w:rsidRPr="003508AD" w14:paraId="29AE64E4" w14:textId="77777777" w:rsidTr="00044D2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97736C2" w14:textId="77777777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R.br.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D7C9927" w14:textId="1A7CF86D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00C3D7E" w14:textId="67A13CE0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 2024.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309FD9D3" w14:textId="77777777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Razlika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F743F54" w14:textId="43768746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Novi plan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2024.</w:t>
            </w:r>
          </w:p>
        </w:tc>
      </w:tr>
      <w:tr w:rsidR="003508AD" w:rsidRPr="003508AD" w14:paraId="68E1C8FA" w14:textId="77777777" w:rsidTr="00044D2E">
        <w:trPr>
          <w:trHeight w:val="56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3D8C" w14:textId="716C3F70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D89D" w14:textId="6E5B3C86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RIHODI POSLOVANJA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ADB7" w14:textId="649494E9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962</w:t>
            </w:r>
            <w:r w:rsidR="00B3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2589" w14:textId="2BEA8747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B3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</w:p>
          <w:p w14:paraId="6FE9F3B9" w14:textId="77777777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341" w14:textId="449553DE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997</w:t>
            </w:r>
            <w:r w:rsidR="00B3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994</w:t>
            </w:r>
          </w:p>
        </w:tc>
      </w:tr>
      <w:tr w:rsidR="003508AD" w:rsidRPr="003508AD" w14:paraId="54F74B28" w14:textId="77777777" w:rsidTr="00044D2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FC1B" w14:textId="340B5E83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771E" w14:textId="3D25EF08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RASHODI POSLOVANJA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9589" w14:textId="33219F56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948</w:t>
            </w:r>
            <w:r w:rsidR="00B3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83B" w14:textId="5F546AE2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B3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2A5" w14:textId="2FBF377A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996</w:t>
            </w:r>
            <w:r w:rsidR="00B3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</w:t>
            </w:r>
          </w:p>
        </w:tc>
      </w:tr>
      <w:tr w:rsidR="003508AD" w:rsidRPr="003508AD" w14:paraId="4A844543" w14:textId="77777777" w:rsidTr="00044D2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27DB" w14:textId="77777777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CCBA" w14:textId="4430A702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RASHODI ZA NABAVU NEF.IMOVINE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0969" w14:textId="55C01644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B3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523" w14:textId="45230B77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B3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14E" w14:textId="1DBA363A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B3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</w:t>
            </w:r>
          </w:p>
        </w:tc>
      </w:tr>
      <w:tr w:rsidR="003508AD" w:rsidRPr="003508AD" w14:paraId="591AB827" w14:textId="77777777" w:rsidTr="00044D2E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3602" w14:textId="77777777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7E9" w14:textId="0CD2FFA2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Razlika višak/manjak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D6D" w14:textId="77777777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8E2" w14:textId="6C7BA91F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B3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195" w14:textId="5F1402BF" w:rsidR="003508AD" w:rsidRPr="003508AD" w:rsidRDefault="003508AD" w:rsidP="003508AD">
            <w:pPr>
              <w:spacing w:after="160"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B31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</w:t>
            </w:r>
          </w:p>
        </w:tc>
      </w:tr>
    </w:tbl>
    <w:p w14:paraId="5847FF8C" w14:textId="76FD6B39" w:rsidR="00C41524" w:rsidRDefault="00C41524" w:rsidP="00B7634D">
      <w:pPr>
        <w:spacing w:after="16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076B2E" w14:textId="2A0A34B4" w:rsidR="003508AD" w:rsidRDefault="003508AD" w:rsidP="00B7634D">
      <w:pPr>
        <w:spacing w:after="16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Ukupni rashodi </w:t>
      </w:r>
      <w:r w:rsidR="00B31CD5">
        <w:rPr>
          <w:rFonts w:ascii="Times New Roman" w:hAnsi="Times New Roman" w:cs="Times New Roman"/>
          <w:color w:val="000000" w:themeColor="text1"/>
          <w:sz w:val="24"/>
          <w:szCs w:val="24"/>
        </w:rPr>
        <w:t>i izdatci</w:t>
      </w:r>
      <w:r w:rsidR="00B31CD5" w:rsidRPr="00B31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 Rebalans</w:t>
      </w:r>
      <w:r w:rsidR="00B31CD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31CD5" w:rsidRPr="00B31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financijskog plana za 2024.</w:t>
      </w:r>
      <w:r w:rsidR="00B31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1.022.488 eura, a dok su ukupni prihodi i primitci </w:t>
      </w:r>
      <w:r w:rsidR="00B31CD5" w:rsidRPr="00B31CD5">
        <w:rPr>
          <w:rFonts w:ascii="Times New Roman" w:hAnsi="Times New Roman" w:cs="Times New Roman"/>
          <w:color w:val="000000" w:themeColor="text1"/>
          <w:sz w:val="24"/>
          <w:szCs w:val="24"/>
        </w:rPr>
        <w:t>I. Rebalansa financijskog plana za 2024. su</w:t>
      </w:r>
      <w:r w:rsidR="00B31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997.994 eura. </w:t>
      </w:r>
    </w:p>
    <w:p w14:paraId="540B7E7A" w14:textId="03A4C5C0" w:rsidR="00EC6DE2" w:rsidRDefault="003508AD" w:rsidP="00B7634D">
      <w:pPr>
        <w:spacing w:after="16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Ukupni rashodi</w:t>
      </w:r>
      <w:r w:rsidR="00B31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izdatci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veći u odnosu na ukupne prihode</w:t>
      </w:r>
      <w:r w:rsidR="00B31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primitke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 će se pokriti iz prenesenog viška iz ranijih godina, kako bi I. Rebalans financijskog plana za 2024. bio uravnotežen. </w:t>
      </w:r>
    </w:p>
    <w:p w14:paraId="0FEC0D3F" w14:textId="0E8C2E02" w:rsidR="00EC6DE2" w:rsidRPr="00EC6DE2" w:rsidRDefault="00EC6DE2" w:rsidP="00EC6D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6DE2">
        <w:rPr>
          <w:rFonts w:ascii="Times New Roman" w:hAnsi="Times New Roman" w:cs="Times New Roman"/>
          <w:color w:val="000000" w:themeColor="text1"/>
          <w:sz w:val="26"/>
          <w:szCs w:val="26"/>
        </w:rPr>
        <w:t>Odstupanja u odnosu na izvorni Financijski plan za 2024.</w:t>
      </w:r>
      <w:r w:rsidR="00B31C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prema programima su: </w:t>
      </w:r>
      <w:r w:rsidRPr="00EC6D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19E37DD" w14:textId="77777777" w:rsidR="00C41524" w:rsidRPr="00EC6DE2" w:rsidRDefault="00C41524" w:rsidP="00B7634D">
      <w:pPr>
        <w:spacing w:after="16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83"/>
        <w:gridCol w:w="3581"/>
        <w:gridCol w:w="1590"/>
        <w:gridCol w:w="1496"/>
        <w:gridCol w:w="1566"/>
      </w:tblGrid>
      <w:tr w:rsidR="00B7634D" w:rsidRPr="00EC6DE2" w14:paraId="54BC6EE0" w14:textId="77777777" w:rsidTr="00174C1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DD1D201" w14:textId="77777777" w:rsidR="00C41524" w:rsidRPr="00C41524" w:rsidRDefault="00C41524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R.br.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5725D75" w14:textId="77777777" w:rsidR="00C41524" w:rsidRPr="00C41524" w:rsidRDefault="00C41524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Naziv programa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3F783D53" w14:textId="68737816" w:rsidR="00C41524" w:rsidRPr="00C41524" w:rsidRDefault="003508AD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Plan </w:t>
            </w:r>
            <w:r w:rsidR="00C41524" w:rsidRPr="00C41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2D581AE" w14:textId="6EE14B29" w:rsidR="00C41524" w:rsidRPr="00C41524" w:rsidRDefault="00C41524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Razlika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3DCB299" w14:textId="0A387E1F" w:rsidR="00C41524" w:rsidRPr="00C41524" w:rsidRDefault="00C41524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Novi plan</w:t>
            </w:r>
            <w:r w:rsidR="00350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2024.</w:t>
            </w:r>
          </w:p>
        </w:tc>
      </w:tr>
      <w:tr w:rsidR="00B7634D" w:rsidRPr="00EC6DE2" w14:paraId="055E92D2" w14:textId="77777777" w:rsidTr="0040642F">
        <w:trPr>
          <w:trHeight w:val="56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694E" w14:textId="77777777" w:rsidR="00C41524" w:rsidRPr="00C41524" w:rsidRDefault="00C41524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BEB0" w14:textId="77777777" w:rsidR="00C41524" w:rsidRPr="00C41524" w:rsidRDefault="00C41524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 REDOVNE DJELATNOSTI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841" w14:textId="38820285" w:rsidR="00C41524" w:rsidRPr="00C41524" w:rsidRDefault="00C41524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896.585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36EE" w14:textId="7E5B7AD9" w:rsidR="0040642F" w:rsidRDefault="0040642F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26.402</w:t>
            </w:r>
          </w:p>
          <w:p w14:paraId="3676EF93" w14:textId="4E5663EC" w:rsidR="0040642F" w:rsidRPr="00C41524" w:rsidRDefault="0040642F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A975" w14:textId="3DF64802" w:rsidR="006E5471" w:rsidRPr="00C41524" w:rsidRDefault="006E5471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922.987</w:t>
            </w:r>
          </w:p>
        </w:tc>
      </w:tr>
      <w:tr w:rsidR="00B7634D" w:rsidRPr="00EC6DE2" w14:paraId="60644BDC" w14:textId="77777777" w:rsidTr="00174C1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474D" w14:textId="77777777" w:rsidR="00C41524" w:rsidRPr="00C41524" w:rsidRDefault="00C41524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139E" w14:textId="77777777" w:rsidR="00C41524" w:rsidRPr="00C41524" w:rsidRDefault="00C41524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P14 OSNOVNOŠKOLSKO OBRAZOVANJE-DECENTRALIZACIJA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22E" w14:textId="57C4A240" w:rsidR="00C41524" w:rsidRPr="00C41524" w:rsidRDefault="00C41524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55.570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B7E1" w14:textId="4064EBD9" w:rsidR="00C41524" w:rsidRPr="00C41524" w:rsidRDefault="0040642F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1.670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0311" w14:textId="4C1298D9" w:rsidR="00C41524" w:rsidRPr="00C41524" w:rsidRDefault="0040642F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57.240</w:t>
            </w:r>
          </w:p>
        </w:tc>
      </w:tr>
      <w:tr w:rsidR="00B7634D" w:rsidRPr="00EC6DE2" w14:paraId="25D58A1A" w14:textId="77777777" w:rsidTr="00174C1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28F8" w14:textId="77777777" w:rsidR="00C41524" w:rsidRPr="00C41524" w:rsidRDefault="00C41524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0BC" w14:textId="77777777" w:rsidR="00C41524" w:rsidRPr="00C41524" w:rsidRDefault="00C41524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P15 OSNOVNOŠKOLSKO OBRAZOVANJE-IZNAD STANDARDA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7AC" w14:textId="7008DB2B" w:rsidR="00C41524" w:rsidRPr="00C41524" w:rsidRDefault="0040642F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2FFB" w14:textId="0C382669" w:rsidR="00C41524" w:rsidRPr="00C41524" w:rsidRDefault="00F25192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140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740" w14:textId="54D73388" w:rsidR="006E5471" w:rsidRPr="00C41524" w:rsidRDefault="00F25192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140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</w:t>
            </w:r>
          </w:p>
        </w:tc>
      </w:tr>
      <w:tr w:rsidR="00B7634D" w:rsidRPr="00EC6DE2" w14:paraId="069A3374" w14:textId="77777777" w:rsidTr="00174C1D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D7D9" w14:textId="77777777" w:rsidR="00C41524" w:rsidRPr="00C41524" w:rsidRDefault="00C41524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4F7D" w14:textId="77777777" w:rsidR="00C41524" w:rsidRPr="00C41524" w:rsidRDefault="00C41524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5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Ukupno: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35F8" w14:textId="3504CB87" w:rsidR="00C41524" w:rsidRPr="00C41524" w:rsidRDefault="006E5471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962.674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079" w14:textId="29AD98A9" w:rsidR="00C41524" w:rsidRPr="00C41524" w:rsidRDefault="004F216C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59814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9CD" w14:textId="1E8176D9" w:rsidR="00C41524" w:rsidRPr="00C41524" w:rsidRDefault="00F25192" w:rsidP="00B763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</w:t>
            </w:r>
            <w:r w:rsidR="00033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</w:tr>
    </w:tbl>
    <w:p w14:paraId="06066514" w14:textId="77777777" w:rsidR="0069706F" w:rsidRDefault="0069706F" w:rsidP="00174C1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95FBE3F" w14:textId="2E16E50E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1D">
        <w:rPr>
          <w:rFonts w:ascii="Times New Roman" w:hAnsi="Times New Roman" w:cs="Times New Roman"/>
          <w:b/>
          <w:sz w:val="24"/>
          <w:szCs w:val="24"/>
        </w:rPr>
        <w:t>NAZIV PROGRAMA: P1 REDOVNE DJELATNOSTI</w:t>
      </w:r>
    </w:p>
    <w:p w14:paraId="7466DF6A" w14:textId="596C62CB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1D">
        <w:rPr>
          <w:rFonts w:ascii="Times New Roman" w:hAnsi="Times New Roman" w:cs="Times New Roman"/>
          <w:sz w:val="24"/>
          <w:szCs w:val="24"/>
        </w:rPr>
        <w:t>OPIS PROGRAMA:  Unutar programa je organizirana aktivnost Redovna djelatnost OŠ – vlastita sredstva.</w:t>
      </w:r>
    </w:p>
    <w:p w14:paraId="72A39697" w14:textId="03434A87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1D">
        <w:rPr>
          <w:rFonts w:ascii="Times New Roman" w:hAnsi="Times New Roman" w:cs="Times New Roman"/>
          <w:sz w:val="24"/>
          <w:szCs w:val="24"/>
        </w:rPr>
        <w:t>CILJ PROGRAMA: Kod planiranja prihoda i rashoda planira se svrsishodna nabava opreme za rad  kroz uključenje vlastitih sredstava u osiguranje materijalne osnove rada, za što kvalitetniji rad i ugođaj unutar primarnog djelokruga rada škole, kako učenika/</w:t>
      </w:r>
      <w:proofErr w:type="spellStart"/>
      <w:r w:rsidRPr="00174C1D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174C1D">
        <w:rPr>
          <w:rFonts w:ascii="Times New Roman" w:hAnsi="Times New Roman" w:cs="Times New Roman"/>
          <w:sz w:val="24"/>
          <w:szCs w:val="24"/>
        </w:rPr>
        <w:t xml:space="preserve">, tako i </w:t>
      </w:r>
      <w:r w:rsidRPr="00174C1D">
        <w:rPr>
          <w:rFonts w:ascii="Times New Roman" w:hAnsi="Times New Roman" w:cs="Times New Roman"/>
          <w:sz w:val="24"/>
          <w:szCs w:val="24"/>
        </w:rPr>
        <w:lastRenderedPageBreak/>
        <w:t>zaposlenika/</w:t>
      </w:r>
      <w:proofErr w:type="spellStart"/>
      <w:r w:rsidRPr="00174C1D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174C1D">
        <w:rPr>
          <w:rFonts w:ascii="Times New Roman" w:hAnsi="Times New Roman" w:cs="Times New Roman"/>
          <w:sz w:val="24"/>
          <w:szCs w:val="24"/>
        </w:rPr>
        <w:t>.</w:t>
      </w:r>
      <w:r w:rsidR="00A900B3">
        <w:rPr>
          <w:rFonts w:ascii="Times New Roman" w:hAnsi="Times New Roman" w:cs="Times New Roman"/>
          <w:sz w:val="24"/>
          <w:szCs w:val="24"/>
        </w:rPr>
        <w:t xml:space="preserve"> </w:t>
      </w:r>
      <w:r w:rsidRPr="00174C1D">
        <w:rPr>
          <w:rFonts w:ascii="Times New Roman" w:hAnsi="Times New Roman" w:cs="Times New Roman"/>
          <w:sz w:val="24"/>
          <w:szCs w:val="24"/>
        </w:rPr>
        <w:t>Povećati interes učenika/</w:t>
      </w:r>
      <w:proofErr w:type="spellStart"/>
      <w:r w:rsidRPr="00174C1D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174C1D">
        <w:rPr>
          <w:rFonts w:ascii="Times New Roman" w:hAnsi="Times New Roman" w:cs="Times New Roman"/>
          <w:sz w:val="24"/>
          <w:szCs w:val="24"/>
        </w:rPr>
        <w:t xml:space="preserve"> za zdravu prehranu u školskoj kuhinji i povećati interes članova zajednice za sportske aktivnosti kroz zakup školsko-sportske dvorane.</w:t>
      </w:r>
    </w:p>
    <w:p w14:paraId="08D5031D" w14:textId="77777777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1D">
        <w:rPr>
          <w:rFonts w:ascii="Times New Roman" w:hAnsi="Times New Roman" w:cs="Times New Roman"/>
          <w:sz w:val="24"/>
          <w:szCs w:val="24"/>
        </w:rPr>
        <w:t xml:space="preserve">Kroz izvannastavne aktivnosti i </w:t>
      </w:r>
      <w:proofErr w:type="spellStart"/>
      <w:r w:rsidRPr="00174C1D">
        <w:rPr>
          <w:rFonts w:ascii="Times New Roman" w:hAnsi="Times New Roman" w:cs="Times New Roman"/>
          <w:sz w:val="24"/>
          <w:szCs w:val="24"/>
        </w:rPr>
        <w:t>izvanučioničnu</w:t>
      </w:r>
      <w:proofErr w:type="spellEnd"/>
      <w:r w:rsidRPr="00174C1D">
        <w:rPr>
          <w:rFonts w:ascii="Times New Roman" w:hAnsi="Times New Roman" w:cs="Times New Roman"/>
          <w:sz w:val="24"/>
          <w:szCs w:val="24"/>
        </w:rPr>
        <w:t xml:space="preserve"> nastavu proširiti interese i znanje učenika/</w:t>
      </w:r>
      <w:proofErr w:type="spellStart"/>
      <w:r w:rsidRPr="00174C1D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174C1D">
        <w:rPr>
          <w:rFonts w:ascii="Times New Roman" w:hAnsi="Times New Roman" w:cs="Times New Roman"/>
          <w:sz w:val="24"/>
          <w:szCs w:val="24"/>
        </w:rPr>
        <w:t>.</w:t>
      </w:r>
    </w:p>
    <w:p w14:paraId="6EE52482" w14:textId="77777777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1D">
        <w:rPr>
          <w:rFonts w:ascii="Times New Roman" w:hAnsi="Times New Roman" w:cs="Times New Roman"/>
          <w:sz w:val="24"/>
          <w:szCs w:val="24"/>
        </w:rPr>
        <w:t>Iz sredstava državnog proračuna nabavljeni su radni i trajni udžbenici, a iz sredstava općinskog proračuna radne bilježnice za sve učenike.</w:t>
      </w:r>
    </w:p>
    <w:p w14:paraId="45764675" w14:textId="3F5E25B9" w:rsid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1D">
        <w:rPr>
          <w:rFonts w:ascii="Times New Roman" w:hAnsi="Times New Roman" w:cs="Times New Roman"/>
          <w:sz w:val="24"/>
          <w:szCs w:val="24"/>
        </w:rPr>
        <w:t>U ovaj program su uvrštene plaće i materijalna prava zaposlenih koji se financiraju iz državnog proračuna, te imaju za cilj pravedno nagraditi zaposlene za njihov kvalitetan rad u školi.</w:t>
      </w:r>
    </w:p>
    <w:p w14:paraId="0B91892C" w14:textId="77777777" w:rsidR="0069706F" w:rsidRPr="00174C1D" w:rsidRDefault="0069706F" w:rsidP="006970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36D52" w14:textId="69481E18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1D">
        <w:rPr>
          <w:rFonts w:ascii="Times New Roman" w:hAnsi="Times New Roman" w:cs="Times New Roman"/>
          <w:b/>
          <w:sz w:val="24"/>
          <w:szCs w:val="24"/>
        </w:rPr>
        <w:t>NAZIV PROGRAMA: P14 OSNOVNOŠKOLSKO OBRAZOVANJE – DECENTRALIZACIJA</w:t>
      </w:r>
    </w:p>
    <w:p w14:paraId="131001EE" w14:textId="0EB77901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1D">
        <w:rPr>
          <w:rFonts w:ascii="Times New Roman" w:hAnsi="Times New Roman" w:cs="Times New Roman"/>
          <w:sz w:val="24"/>
          <w:szCs w:val="24"/>
        </w:rPr>
        <w:t>OPIS PROGRAMA: Unutar programa su organizirane aktivnosti i projekti: Redovna djelatnost OŠ – DEC, Investicijsko i tekuće održavanje u OŠ – DEC, Ulaganja u opremu osnovnog školstva – DEC.</w:t>
      </w:r>
    </w:p>
    <w:p w14:paraId="64EC1391" w14:textId="06EAF717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1D">
        <w:rPr>
          <w:rFonts w:ascii="Times New Roman" w:hAnsi="Times New Roman" w:cs="Times New Roman"/>
          <w:sz w:val="24"/>
          <w:szCs w:val="24"/>
        </w:rPr>
        <w:t>CILJ PROGRAMA: Kroz redovne materijalne troškove škole koji se financiraju iz sredstava županijskog proračuna ( osnivač Bjelovarsko-bilogorska županija ), osigurati materijalnu osnovu za redovno funkcioniranje građevinskih objekata i opreme, kako kroz redovno održavanje, tako i kroz nabavu sredstava za rad i izgradnju novih objekata, te kroz  investicijsko održavanje građevinskih objekata</w:t>
      </w:r>
      <w:r w:rsidR="0069706F">
        <w:rPr>
          <w:rFonts w:ascii="Times New Roman" w:hAnsi="Times New Roman" w:cs="Times New Roman"/>
          <w:sz w:val="24"/>
          <w:szCs w:val="24"/>
        </w:rPr>
        <w:t xml:space="preserve">. </w:t>
      </w:r>
      <w:r w:rsidRPr="00174C1D">
        <w:rPr>
          <w:rFonts w:ascii="Times New Roman" w:hAnsi="Times New Roman" w:cs="Times New Roman"/>
          <w:sz w:val="24"/>
          <w:szCs w:val="24"/>
        </w:rPr>
        <w:t>Povećati  upućivanje zaposlenika na stručna osposobljavanja. Poboljšati materijalnu osnova za redovan rad učitelja u nastavnom procesu.</w:t>
      </w:r>
    </w:p>
    <w:p w14:paraId="4FB77F7C" w14:textId="77777777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4E7B8" w14:textId="7F15DB5C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1D">
        <w:rPr>
          <w:rFonts w:ascii="Times New Roman" w:hAnsi="Times New Roman" w:cs="Times New Roman"/>
          <w:b/>
          <w:sz w:val="24"/>
          <w:szCs w:val="24"/>
        </w:rPr>
        <w:t>NAZIV PROGRAMA: P15 OSNOVNOŠKOLSKO OBRAZOVANJE -  IZNAD STANDARDA</w:t>
      </w:r>
    </w:p>
    <w:p w14:paraId="799ED818" w14:textId="048D467F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1D">
        <w:rPr>
          <w:rFonts w:ascii="Times New Roman" w:hAnsi="Times New Roman" w:cs="Times New Roman"/>
          <w:sz w:val="24"/>
          <w:szCs w:val="24"/>
        </w:rPr>
        <w:t>OPIS PROGRAMA: Unutar programa organizirane su slijedeće aktivnosti i projekti: Županijska natjecanja OŠ, Kulturne i javne djelatnosti , Osiguranje školskih zgrada</w:t>
      </w:r>
      <w:r w:rsidRPr="00174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C1D">
        <w:rPr>
          <w:rFonts w:ascii="Times New Roman" w:hAnsi="Times New Roman" w:cs="Times New Roman"/>
          <w:sz w:val="24"/>
          <w:szCs w:val="24"/>
        </w:rPr>
        <w:t xml:space="preserve">Sufinanciranje e-tehničara, Školska shema, Školski medni dan, </w:t>
      </w:r>
      <w:proofErr w:type="spellStart"/>
      <w:r w:rsidRPr="00174C1D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174C1D">
        <w:rPr>
          <w:rFonts w:ascii="Times New Roman" w:hAnsi="Times New Roman" w:cs="Times New Roman"/>
          <w:sz w:val="24"/>
          <w:szCs w:val="24"/>
        </w:rPr>
        <w:t>+ i Pomoćnici u nastavi.</w:t>
      </w:r>
    </w:p>
    <w:p w14:paraId="5DD4F81E" w14:textId="77777777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1D">
        <w:rPr>
          <w:rFonts w:ascii="Times New Roman" w:hAnsi="Times New Roman" w:cs="Times New Roman"/>
          <w:sz w:val="24"/>
          <w:szCs w:val="24"/>
        </w:rPr>
        <w:t xml:space="preserve">CILJ PROGRAMA: Poticati učenike i omogućiti materijalnu osnovu za sudjelovanje učenika na županijskim natjecanjima u znanju. </w:t>
      </w:r>
    </w:p>
    <w:p w14:paraId="4E3F8A36" w14:textId="77777777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1D">
        <w:rPr>
          <w:rFonts w:ascii="Times New Roman" w:hAnsi="Times New Roman" w:cs="Times New Roman"/>
          <w:sz w:val="24"/>
          <w:szCs w:val="24"/>
        </w:rPr>
        <w:t>Usluge e-tehničara su neophodne zbog održavanja CARNET mreže i IKT opreme u školi.</w:t>
      </w:r>
    </w:p>
    <w:p w14:paraId="76A6285C" w14:textId="7D79B8A6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1D">
        <w:rPr>
          <w:rFonts w:ascii="Times New Roman" w:hAnsi="Times New Roman" w:cs="Times New Roman"/>
          <w:sz w:val="24"/>
          <w:szCs w:val="24"/>
        </w:rPr>
        <w:lastRenderedPageBreak/>
        <w:t>Školska shema je EU projekt kojim se omogućuje dostupnost mlijeka i voća u prehrani učenika/</w:t>
      </w:r>
      <w:proofErr w:type="spellStart"/>
      <w:r w:rsidRPr="00174C1D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BF0B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73D18" w14:textId="3AD6232B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1D">
        <w:rPr>
          <w:rFonts w:ascii="Times New Roman" w:hAnsi="Times New Roman" w:cs="Times New Roman"/>
          <w:sz w:val="24"/>
          <w:szCs w:val="24"/>
        </w:rPr>
        <w:t>Školski medni dan je EU projekt kojim se učenicima 1. razreda poklanja staklenka meda.</w:t>
      </w:r>
    </w:p>
    <w:p w14:paraId="169F9C4F" w14:textId="77777777" w:rsidR="00174C1D" w:rsidRPr="00174C1D" w:rsidRDefault="00174C1D" w:rsidP="0069706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C1D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174C1D">
        <w:rPr>
          <w:rFonts w:ascii="Times New Roman" w:hAnsi="Times New Roman" w:cs="Times New Roman"/>
          <w:sz w:val="24"/>
          <w:szCs w:val="24"/>
        </w:rPr>
        <w:t>+ je projekt EU u području općeg  obrazovanja i odgoja, a cilj je dodatno obrazovanje učitelja u inozemnim učilištima, kako bi svoje novo znanje prenijeli na svoja radna mjesta.</w:t>
      </w:r>
    </w:p>
    <w:p w14:paraId="2D2AD494" w14:textId="1D534F5A" w:rsidR="00174C1D" w:rsidRDefault="00174C1D" w:rsidP="000C794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1D">
        <w:rPr>
          <w:rFonts w:ascii="Times New Roman" w:hAnsi="Times New Roman" w:cs="Times New Roman"/>
          <w:sz w:val="24"/>
          <w:szCs w:val="24"/>
        </w:rPr>
        <w:t>Pomoćnici u nastavi rade  sa učenicima kojima je potrebna pomoć u nastavi.</w:t>
      </w:r>
    </w:p>
    <w:p w14:paraId="2017EE7D" w14:textId="77777777" w:rsidR="000C794F" w:rsidRPr="000C794F" w:rsidRDefault="000C794F" w:rsidP="000C794F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65756" w14:textId="0326A5F2" w:rsidR="007F76F2" w:rsidRDefault="00FB1CC7" w:rsidP="006970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 </w:t>
      </w:r>
      <w:r w:rsidR="0081558C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I. </w:t>
      </w:r>
      <w:r w:rsidR="00BD7CDF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Rebalansu </w:t>
      </w:r>
      <w:r w:rsidR="00D339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Financijskog plana </w:t>
      </w:r>
      <w:r w:rsidR="002B6EF9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OŠ Ivanska </w:t>
      </w:r>
      <w:r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za 202</w:t>
      </w:r>
      <w:r w:rsidR="002B6EF9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.godinu mijenja</w:t>
      </w:r>
      <w:r w:rsidR="00D339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se i dodaj</w:t>
      </w:r>
      <w:r w:rsidR="00D3396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 </w:t>
      </w:r>
      <w:r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slijedeće</w:t>
      </w:r>
      <w:r w:rsidR="00BD7CDF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14:paraId="7CB8DF52" w14:textId="77777777" w:rsidR="00D33961" w:rsidRPr="0069706F" w:rsidRDefault="00D33961" w:rsidP="006970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930823D" w14:textId="55177A85" w:rsidR="000C794F" w:rsidRDefault="000C794F" w:rsidP="000C794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970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Vlastiti i namjenski prihodi</w:t>
      </w:r>
    </w:p>
    <w:p w14:paraId="00C41FEE" w14:textId="77777777" w:rsidR="00C91D89" w:rsidRPr="0069706F" w:rsidRDefault="00C91D89" w:rsidP="000C794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50111DC" w14:textId="28783337" w:rsidR="000C794F" w:rsidRPr="0069706F" w:rsidRDefault="000C794F" w:rsidP="000C794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Iz povećanih planiranih vlastitih prihoda i od prenesenog viška prihoda od zakupa dvorane i najma stana iz ranijih godina planira se nabava namještaja prema Odluci ravnateljice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te oprema i  usluge za popravak dvorane.</w:t>
      </w:r>
      <w:r w:rsidR="007077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Preneseni višak od zakupa dvorane 5.630 eura, dok je od stana 932 eura, a od uplate radnika 2.916 eura.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Planirani rashodi za usluge </w:t>
      </w:r>
      <w:r w:rsidR="008A7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održavanju sportske dvorane su povećani za 700 eura, jer se planiraju radovi na dvorani (popravak zidova dvorane i pločnika oko dvorane). </w:t>
      </w:r>
      <w:r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Od uplate radnika za školski obrok planira se nabava sitnog inventara (posuđa) za opremanje školske kuhinje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Planirani rashod se povećava za 250 eura</w:t>
      </w:r>
      <w:r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. Iz prenesenog viška iz ranijih godina od uplata radnika planiraju se rashodi za opremu, nabava opreme za školsku kuhinju (štednjak) prema Odluci ravnateljice. Planiran je prihod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 iznosu od 10,00 eura</w:t>
      </w:r>
      <w:r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od prikupljenog starog papira kojeg su prikupljali učenici PŠ </w:t>
      </w:r>
      <w:proofErr w:type="spellStart"/>
      <w:r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Narta</w:t>
      </w:r>
      <w:proofErr w:type="spellEnd"/>
      <w:r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a utrošit će se na rashode za usluge.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Povećavaju se planirani rashodi za namirnice za školski obrok za 12.000 eura jer planirana sredstva nisu dostatna za cijelu 2024.godinu.</w:t>
      </w:r>
      <w:r w:rsidR="008A7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za nabavu namirnica za školski obrok.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Shodno povećanju rashoda planira se i povećanje prihoda. </w:t>
      </w:r>
    </w:p>
    <w:p w14:paraId="60512EF3" w14:textId="77777777" w:rsidR="00174C1D" w:rsidRPr="00174C1D" w:rsidRDefault="00174C1D" w:rsidP="0069706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BE5E311" w14:textId="4D21232F" w:rsidR="00A513CB" w:rsidRDefault="00A513CB" w:rsidP="0069706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970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Prihodi za decentralizirane funkcije</w:t>
      </w:r>
      <w:r w:rsidR="00D70EC2" w:rsidRPr="006970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OŠ</w:t>
      </w:r>
    </w:p>
    <w:p w14:paraId="0B4F904E" w14:textId="77777777" w:rsidR="00C91D89" w:rsidRPr="0069706F" w:rsidRDefault="00C91D89" w:rsidP="0069706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4CFD74A" w14:textId="39420842" w:rsidR="002B6EF9" w:rsidRPr="0069706F" w:rsidRDefault="00A513CB" w:rsidP="006970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Prihodi za decentralizirane funkcije planirani su u </w:t>
      </w:r>
      <w:r w:rsidR="002B6EF9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većem iznosu za 1</w:t>
      </w:r>
      <w:r w:rsidR="00BD7CDF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B6EF9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670</w:t>
      </w:r>
      <w:r w:rsidR="007077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6EF9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eura. Povećavaju se sa 55.570 eura na 57.240</w:t>
      </w:r>
      <w:r w:rsidR="00BD7CDF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6EF9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eura</w:t>
      </w:r>
      <w:r w:rsidR="00BD7CDF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prema Odluci o kriterijima i mjerilima za utvrđivanje bilančnih prava za financiranje minimalnog financijskog standarda javnih potreba osnovnog školstva Bjelovarsko-bilogorske županije u 2024. godini</w:t>
      </w:r>
      <w:r w:rsidR="00D111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Planirani rashodi za </w:t>
      </w:r>
      <w:r w:rsidR="00D111F5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materijal i energiju s obzirom da se povećala cijena na tržištu (električna energija, plin, uredski materijal, materijal i sredstva za čišćenje i održavanje)</w:t>
      </w:r>
      <w:r w:rsidR="00D111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povećavaju za 460 eura. </w:t>
      </w:r>
      <w:r w:rsidR="00B75500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11F5">
        <w:rPr>
          <w:rFonts w:ascii="Times New Roman" w:hAnsi="Times New Roman" w:cs="Times New Roman"/>
          <w:color w:val="000000" w:themeColor="text1"/>
          <w:sz w:val="26"/>
          <w:szCs w:val="26"/>
        </w:rPr>
        <w:t>Planirani</w:t>
      </w:r>
      <w:r w:rsidR="002B6EF9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7CDF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rashod</w:t>
      </w:r>
      <w:r w:rsidR="008A7D2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BD7CDF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6EF9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za usluge</w:t>
      </w:r>
      <w:r w:rsidR="00D111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povećavaju za 995 eura</w:t>
      </w:r>
      <w:r w:rsidR="002B6EF9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jer s</w:t>
      </w:r>
      <w:r w:rsidR="00D70EC2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e povećala cijena usluga na tržištu</w:t>
      </w:r>
      <w:r w:rsidR="008A7D24">
        <w:rPr>
          <w:rFonts w:ascii="Times New Roman" w:hAnsi="Times New Roman" w:cs="Times New Roman"/>
          <w:color w:val="000000" w:themeColor="text1"/>
          <w:sz w:val="26"/>
          <w:szCs w:val="26"/>
        </w:rPr>
        <w:t>, te su i u</w:t>
      </w:r>
      <w:r w:rsidR="00D70EC2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navedenome </w:t>
      </w:r>
      <w:r w:rsidR="002B6EF9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planirane</w:t>
      </w:r>
      <w:r w:rsidR="00D70EC2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6EF9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usluge </w:t>
      </w:r>
      <w:r w:rsidR="00D70EC2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zdravstvenih pregleda domara, redovne usluge koje škola koristi i ostale usluge koje pridonese kvalitetnijem radu škole i sportsko školske dvorane</w:t>
      </w:r>
      <w:r w:rsidR="008A7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za učenike</w:t>
      </w:r>
      <w:r w:rsidR="00D70EC2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111F5">
        <w:rPr>
          <w:rFonts w:ascii="Times New Roman" w:hAnsi="Times New Roman" w:cs="Times New Roman"/>
          <w:color w:val="000000" w:themeColor="text1"/>
          <w:sz w:val="26"/>
          <w:szCs w:val="26"/>
        </w:rPr>
        <w:t>Povećavaju se planirani rashodi</w:t>
      </w:r>
      <w:r w:rsidR="00D70EC2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za nabavu zamrzivača, kosilice, trimera, te ostale računalne opreme za redovito poslovanje škole</w:t>
      </w:r>
      <w:r w:rsidR="00D111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za 215 eura.</w:t>
      </w:r>
      <w:r w:rsidR="00D70EC2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1" w:name="_Hlk169598029"/>
      <w:r w:rsidR="00D70EC2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Shodno povećanju rashoda povećavaju se i prihodi. </w:t>
      </w:r>
    </w:p>
    <w:p w14:paraId="429D1B1B" w14:textId="77777777" w:rsidR="00DD7076" w:rsidRPr="0069706F" w:rsidRDefault="00DD7076" w:rsidP="006970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bookmarkEnd w:id="1"/>
    <w:p w14:paraId="7469FECC" w14:textId="59B0A223" w:rsidR="00571CB3" w:rsidRDefault="009976E4" w:rsidP="0069706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970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Opći prihodi i primici</w:t>
      </w:r>
    </w:p>
    <w:p w14:paraId="68490A27" w14:textId="77777777" w:rsidR="00C91D89" w:rsidRPr="0069706F" w:rsidRDefault="00C91D89" w:rsidP="0069706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AB3A1D0" w14:textId="32CDA9FD" w:rsidR="0069581D" w:rsidRDefault="009976E4" w:rsidP="006970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06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OŠ Ivanska bila je domaćin </w:t>
      </w:r>
      <w:r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>manifestacije Danas mali, sutra veliki majstor - 11.modelarska liga, te se</w:t>
      </w:r>
      <w:r w:rsidR="00D11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planirani </w:t>
      </w:r>
      <w:r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rashod za materijal poveća</w:t>
      </w:r>
      <w:r w:rsidR="00D11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vaju se za 1.000 </w:t>
      </w:r>
      <w:r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eura na županijskim natjecanjima. </w:t>
      </w:r>
      <w:r w:rsidR="00C41524"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Povećavaju se rashodi za sredstva usluge E-tehničara </w:t>
      </w:r>
      <w:r w:rsidR="00D111F5">
        <w:rPr>
          <w:rFonts w:ascii="Times New Roman" w:hAnsi="Times New Roman" w:cs="Times New Roman"/>
          <w:color w:val="000000" w:themeColor="text1"/>
          <w:sz w:val="24"/>
          <w:szCs w:val="24"/>
        </w:rPr>
        <w:t>za 100</w:t>
      </w:r>
      <w:r w:rsidR="00C41524"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  <w:r w:rsidR="00D111F5">
        <w:rPr>
          <w:rFonts w:ascii="Times New Roman" w:hAnsi="Times New Roman" w:cs="Times New Roman"/>
          <w:color w:val="000000" w:themeColor="text1"/>
          <w:sz w:val="24"/>
          <w:szCs w:val="24"/>
        </w:rPr>
        <w:t>, kako bi sredstva bila dovoljna za uslugu</w:t>
      </w:r>
      <w:r w:rsidR="008A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tokom 2024.godine</w:t>
      </w:r>
      <w:r w:rsidR="00C41524"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D7076"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Shodno povećanju rashoda povećavaju se i prihodi. </w:t>
      </w:r>
      <w:r w:rsidR="00636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Planira se smanjenje planiranih rashoda u iznosu od 1</w:t>
      </w:r>
      <w:r w:rsidR="0014077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36444">
        <w:rPr>
          <w:rFonts w:ascii="Times New Roman" w:hAnsi="Times New Roman" w:cs="Times New Roman"/>
          <w:color w:val="000000" w:themeColor="text1"/>
          <w:sz w:val="24"/>
          <w:szCs w:val="24"/>
        </w:rPr>
        <w:t>78 eura za plaće, naknade troškova zaposlenicima, doprinosa, te ostalih rashoda za</w:t>
      </w:r>
      <w:r w:rsidR="00021F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6444">
        <w:rPr>
          <w:rFonts w:ascii="Times New Roman" w:hAnsi="Times New Roman" w:cs="Times New Roman"/>
          <w:color w:val="000000" w:themeColor="text1"/>
          <w:sz w:val="24"/>
          <w:szCs w:val="24"/>
        </w:rPr>
        <w:t>pomoćnik</w:t>
      </w:r>
      <w:r w:rsidR="00021FE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36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nastavi Faza VI. iz izvora financiranja općih prihoda i primitaka jer su planirana veća sredstva iz pomoći. </w:t>
      </w:r>
    </w:p>
    <w:p w14:paraId="16FF2FA5" w14:textId="56D39386" w:rsidR="00B31CD5" w:rsidRDefault="00B31CD5" w:rsidP="006970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73965" w14:textId="00C1BA27" w:rsidR="00B31CD5" w:rsidRDefault="00B31CD5" w:rsidP="006970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0F1135" w14:textId="6F5B721F" w:rsidR="00B31CD5" w:rsidRDefault="00B31CD5" w:rsidP="006970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35FE28" w14:textId="77777777" w:rsidR="00C264C5" w:rsidRDefault="00C264C5" w:rsidP="006970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3ABC44" w14:textId="77777777" w:rsidR="000C794F" w:rsidRPr="000C794F" w:rsidRDefault="000C794F" w:rsidP="006970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303962" w14:textId="3B3387BE" w:rsidR="00A513CB" w:rsidRDefault="00174C1D" w:rsidP="0069706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970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Donacije</w:t>
      </w:r>
    </w:p>
    <w:p w14:paraId="42EB588B" w14:textId="77777777" w:rsidR="00C91D89" w:rsidRPr="0069706F" w:rsidRDefault="00C91D89" w:rsidP="0069706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A0B4F17" w14:textId="181ED17B" w:rsidR="000D3429" w:rsidRDefault="00A513CB" w:rsidP="006970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Planirani prihodi </w:t>
      </w:r>
      <w:r w:rsidR="00B07879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donacija su povećani jer smo zaprimili nekoliko donacija od raznih trgovačkih subjekata, subjekata izvan proračuna</w:t>
      </w:r>
      <w:r w:rsidR="001D1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fizičkih osoba</w:t>
      </w:r>
      <w:r w:rsidR="00BF0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07879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Donacije će se utrošiti za materijal za organizaciju Dana škol</w:t>
      </w:r>
      <w:r w:rsidR="00B7634D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e, te za </w:t>
      </w:r>
      <w:r w:rsidR="001D1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razni radni </w:t>
      </w:r>
      <w:r w:rsidR="00B7634D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materijal</w:t>
      </w:r>
      <w:r w:rsidR="001D1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za učenike</w:t>
      </w:r>
      <w:r w:rsidR="00B7634D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, namještaj</w:t>
      </w:r>
      <w:r w:rsidR="001D18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185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i</w:t>
      </w:r>
      <w:r w:rsidR="00B7634D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opremu</w:t>
      </w:r>
      <w:r w:rsidR="00B07879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za sobu za odmor</w:t>
      </w:r>
      <w:r w:rsidR="00B7634D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. Donacija od trgovačkih subjekata koji organiziraju učeničke izlete utrošit će se za učitelje koji su bili pratitelji na učeničkim  izletima</w:t>
      </w:r>
      <w:r w:rsidR="00B07879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BF0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Povećavaju se planirani rashodi naknada troškova za zaposlenike za 150 eura. </w:t>
      </w:r>
      <w:r w:rsidR="00574520">
        <w:rPr>
          <w:rFonts w:ascii="Times New Roman" w:hAnsi="Times New Roman" w:cs="Times New Roman"/>
          <w:color w:val="000000" w:themeColor="text1"/>
          <w:sz w:val="26"/>
          <w:szCs w:val="26"/>
        </w:rPr>
        <w:t>Povećavaju se rashodi za materijal i energiju za 1.</w:t>
      </w:r>
      <w:r w:rsidR="001D185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574520">
        <w:rPr>
          <w:rFonts w:ascii="Times New Roman" w:hAnsi="Times New Roman" w:cs="Times New Roman"/>
          <w:color w:val="000000" w:themeColor="text1"/>
          <w:sz w:val="26"/>
          <w:szCs w:val="26"/>
        </w:rPr>
        <w:t>00 eura. Povećavaju se planirani rashodi za opremu za 1.000</w:t>
      </w:r>
      <w:r w:rsidR="007077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4520">
        <w:rPr>
          <w:rFonts w:ascii="Times New Roman" w:hAnsi="Times New Roman" w:cs="Times New Roman"/>
          <w:color w:val="000000" w:themeColor="text1"/>
          <w:sz w:val="26"/>
          <w:szCs w:val="26"/>
        </w:rPr>
        <w:t>eura.</w:t>
      </w:r>
      <w:r w:rsidR="00BF0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4520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Tim donacijama povećati će se bolji radni uvjeti za naše učenike škole</w:t>
      </w:r>
      <w:r w:rsidR="00BF0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74520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ali i za zaposlenike</w:t>
      </w:r>
      <w:r w:rsidR="00BF0B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škole. </w:t>
      </w:r>
    </w:p>
    <w:p w14:paraId="0B54C358" w14:textId="77777777" w:rsidR="00BF0B9E" w:rsidRPr="0069706F" w:rsidRDefault="00BF0B9E" w:rsidP="006970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407AECF" w14:textId="065FA5BB" w:rsidR="00B07879" w:rsidRDefault="00D22E16" w:rsidP="0069706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970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Pomoći </w:t>
      </w:r>
    </w:p>
    <w:p w14:paraId="1E659C8D" w14:textId="77777777" w:rsidR="00C91D89" w:rsidRPr="0069706F" w:rsidRDefault="00C91D89" w:rsidP="0069706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C9A6FBA" w14:textId="1BB165FC" w:rsidR="00B7634D" w:rsidRDefault="00B07879" w:rsidP="006970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Povećavaju se planirani prihodi za školsku shemu voća i mlijeka sa </w:t>
      </w:r>
      <w:r w:rsidR="00D11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700 </w:t>
      </w:r>
      <w:r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D111F5">
        <w:rPr>
          <w:rFonts w:ascii="Times New Roman" w:hAnsi="Times New Roman" w:cs="Times New Roman"/>
          <w:color w:val="000000" w:themeColor="text1"/>
          <w:sz w:val="24"/>
          <w:szCs w:val="24"/>
        </w:rPr>
        <w:t>, kako bi sredstva bila dostatna za sve mjesece u kojima su djeca u školi u 2024.godin</w:t>
      </w:r>
      <w:r w:rsidR="00E40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 </w:t>
      </w:r>
    </w:p>
    <w:p w14:paraId="1CE624AE" w14:textId="266F83D7" w:rsidR="00636444" w:rsidRPr="0069706F" w:rsidRDefault="00636444" w:rsidP="0069706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Povećavaju se planirani prihodi za plaće, naknade troškova zaposlenicima, doprinosa, te ostalih rashoda za pomoćnike u nastavi Faza VI. u iznosu od 1.188 eura. </w:t>
      </w:r>
    </w:p>
    <w:p w14:paraId="39D36C1B" w14:textId="1413EA16" w:rsidR="000C2F8E" w:rsidRDefault="00B07879" w:rsidP="00D33961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>Od prenesenog viška u iznosu od 15.01</w:t>
      </w:r>
      <w:r w:rsidR="0070774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 od sredstava </w:t>
      </w:r>
      <w:proofErr w:type="spellStart"/>
      <w:r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projekt planira se utrošiti tokom 2024. godine na službena putovanja i ostale rashode putovanja za sudionike u projektu </w:t>
      </w:r>
      <w:proofErr w:type="spellStart"/>
      <w:r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+.  Planiraju se prihodi po </w:t>
      </w:r>
      <w:proofErr w:type="spellStart"/>
      <w:r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projektu u iznosu od 15.016 eura po dobivenoj Obavijesti o rezultatima Poziva na podnošenje prijedloga za program </w:t>
      </w:r>
      <w:proofErr w:type="spellStart"/>
      <w:r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za 2024.g za Ključnu aktivnost 1 u području odgoja i obrazovanja</w:t>
      </w:r>
      <w:r w:rsidR="00B7634D"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Sredstva se planiraju utrošiti na službena putovanja i ostale rashode putovanja za sudionike u projektu </w:t>
      </w:r>
      <w:proofErr w:type="spellStart"/>
      <w:r w:rsidR="00B7634D"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="00B7634D" w:rsidRPr="006970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+. </w:t>
      </w:r>
    </w:p>
    <w:p w14:paraId="5B080613" w14:textId="77777777" w:rsidR="00B31CD5" w:rsidRPr="00D33961" w:rsidRDefault="00B31CD5" w:rsidP="00D33961">
      <w:p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AD5BEC" w14:textId="7F09983E" w:rsidR="00B7634D" w:rsidRDefault="0069706F" w:rsidP="0069706F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="00B7634D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Ravnateljica</w:t>
      </w:r>
    </w:p>
    <w:p w14:paraId="2E2277DD" w14:textId="77777777" w:rsidR="00C91D89" w:rsidRPr="0069706F" w:rsidRDefault="00C91D89" w:rsidP="0069706F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2F73FC7" w14:textId="5B5C45A6" w:rsidR="00B7634D" w:rsidRPr="0069706F" w:rsidRDefault="00B7634D" w:rsidP="00D33961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</w:t>
      </w:r>
    </w:p>
    <w:p w14:paraId="7BC6FB39" w14:textId="6CFC8B85" w:rsidR="00DE7444" w:rsidRPr="0008319E" w:rsidRDefault="00D33961" w:rsidP="0008319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</w:t>
      </w:r>
      <w:r w:rsidR="00B7634D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Sunčica Đuričić-Kocijan, </w:t>
      </w:r>
      <w:proofErr w:type="spellStart"/>
      <w:r w:rsidR="00B7634D" w:rsidRPr="0069706F">
        <w:rPr>
          <w:rFonts w:ascii="Times New Roman" w:hAnsi="Times New Roman" w:cs="Times New Roman"/>
          <w:color w:val="000000" w:themeColor="text1"/>
          <w:sz w:val="26"/>
          <w:szCs w:val="26"/>
        </w:rPr>
        <w:t>dipl.u</w:t>
      </w:r>
      <w:r w:rsidR="0008319E">
        <w:rPr>
          <w:rFonts w:ascii="Times New Roman" w:hAnsi="Times New Roman" w:cs="Times New Roman"/>
          <w:color w:val="000000" w:themeColor="text1"/>
          <w:sz w:val="26"/>
          <w:szCs w:val="26"/>
        </w:rPr>
        <w:t>č</w:t>
      </w:r>
      <w:proofErr w:type="spellEnd"/>
      <w:r w:rsidR="0008319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DE7444" w:rsidRPr="0008319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6F320" w14:textId="77777777" w:rsidR="00FC4CEA" w:rsidRDefault="00FC4CEA" w:rsidP="00B75500">
      <w:r>
        <w:separator/>
      </w:r>
    </w:p>
  </w:endnote>
  <w:endnote w:type="continuationSeparator" w:id="0">
    <w:p w14:paraId="1BBF26AC" w14:textId="77777777" w:rsidR="00FC4CEA" w:rsidRDefault="00FC4CEA" w:rsidP="00B7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9128278"/>
      <w:docPartObj>
        <w:docPartGallery w:val="Page Numbers (Bottom of Page)"/>
        <w:docPartUnique/>
      </w:docPartObj>
    </w:sdtPr>
    <w:sdtEndPr/>
    <w:sdtContent>
      <w:p w14:paraId="716D8CA5" w14:textId="685AE8C8" w:rsidR="00B75500" w:rsidRDefault="00B755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16659B" w14:textId="77777777" w:rsidR="00B75500" w:rsidRDefault="00B755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2C1F3" w14:textId="77777777" w:rsidR="00FC4CEA" w:rsidRDefault="00FC4CEA" w:rsidP="00B75500">
      <w:r>
        <w:separator/>
      </w:r>
    </w:p>
  </w:footnote>
  <w:footnote w:type="continuationSeparator" w:id="0">
    <w:p w14:paraId="6D72DF5C" w14:textId="77777777" w:rsidR="00FC4CEA" w:rsidRDefault="00FC4CEA" w:rsidP="00B75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A3B58"/>
    <w:multiLevelType w:val="hybridMultilevel"/>
    <w:tmpl w:val="51860AE8"/>
    <w:lvl w:ilvl="0" w:tplc="10DE90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017ACB"/>
    <w:multiLevelType w:val="hybridMultilevel"/>
    <w:tmpl w:val="82AA18F4"/>
    <w:lvl w:ilvl="0" w:tplc="7C1256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C7"/>
    <w:rsid w:val="000111B7"/>
    <w:rsid w:val="00021FED"/>
    <w:rsid w:val="00024FC8"/>
    <w:rsid w:val="0002779C"/>
    <w:rsid w:val="00033E6E"/>
    <w:rsid w:val="000676E5"/>
    <w:rsid w:val="0008319E"/>
    <w:rsid w:val="000C2F8E"/>
    <w:rsid w:val="000C794F"/>
    <w:rsid w:val="000D3429"/>
    <w:rsid w:val="00106A77"/>
    <w:rsid w:val="00115DE4"/>
    <w:rsid w:val="0012141B"/>
    <w:rsid w:val="00140775"/>
    <w:rsid w:val="00141DF4"/>
    <w:rsid w:val="00154046"/>
    <w:rsid w:val="00174C1D"/>
    <w:rsid w:val="001D185F"/>
    <w:rsid w:val="001D3766"/>
    <w:rsid w:val="001F4C1F"/>
    <w:rsid w:val="00241CA9"/>
    <w:rsid w:val="00266D9E"/>
    <w:rsid w:val="002B6EF9"/>
    <w:rsid w:val="003508AD"/>
    <w:rsid w:val="0040642F"/>
    <w:rsid w:val="00461D43"/>
    <w:rsid w:val="0048045C"/>
    <w:rsid w:val="00494A62"/>
    <w:rsid w:val="004F216C"/>
    <w:rsid w:val="00511A14"/>
    <w:rsid w:val="00522D91"/>
    <w:rsid w:val="00571CB3"/>
    <w:rsid w:val="00571F73"/>
    <w:rsid w:val="00574520"/>
    <w:rsid w:val="005E3DF3"/>
    <w:rsid w:val="005F188B"/>
    <w:rsid w:val="005F3587"/>
    <w:rsid w:val="00612B0A"/>
    <w:rsid w:val="00636444"/>
    <w:rsid w:val="006845FB"/>
    <w:rsid w:val="0069581D"/>
    <w:rsid w:val="0069706F"/>
    <w:rsid w:val="006E5471"/>
    <w:rsid w:val="00707748"/>
    <w:rsid w:val="00714743"/>
    <w:rsid w:val="007446FB"/>
    <w:rsid w:val="00745E03"/>
    <w:rsid w:val="0076525B"/>
    <w:rsid w:val="00794772"/>
    <w:rsid w:val="007A7BED"/>
    <w:rsid w:val="007C4F0F"/>
    <w:rsid w:val="007F76F2"/>
    <w:rsid w:val="008004C2"/>
    <w:rsid w:val="0081558C"/>
    <w:rsid w:val="008832A0"/>
    <w:rsid w:val="008A7D24"/>
    <w:rsid w:val="008E0A40"/>
    <w:rsid w:val="009976E4"/>
    <w:rsid w:val="009B7DFF"/>
    <w:rsid w:val="009C4814"/>
    <w:rsid w:val="00A222E0"/>
    <w:rsid w:val="00A513CB"/>
    <w:rsid w:val="00A900B3"/>
    <w:rsid w:val="00AA3001"/>
    <w:rsid w:val="00AD0A93"/>
    <w:rsid w:val="00B07879"/>
    <w:rsid w:val="00B31CD5"/>
    <w:rsid w:val="00B664A3"/>
    <w:rsid w:val="00B75500"/>
    <w:rsid w:val="00B7634D"/>
    <w:rsid w:val="00BB1DF8"/>
    <w:rsid w:val="00BB24DB"/>
    <w:rsid w:val="00BD7199"/>
    <w:rsid w:val="00BD7CDF"/>
    <w:rsid w:val="00BE3D94"/>
    <w:rsid w:val="00BF0B9E"/>
    <w:rsid w:val="00C02890"/>
    <w:rsid w:val="00C264C5"/>
    <w:rsid w:val="00C26C08"/>
    <w:rsid w:val="00C34E1D"/>
    <w:rsid w:val="00C41524"/>
    <w:rsid w:val="00C91D89"/>
    <w:rsid w:val="00CA5433"/>
    <w:rsid w:val="00CB15DD"/>
    <w:rsid w:val="00CC3412"/>
    <w:rsid w:val="00CF3BD3"/>
    <w:rsid w:val="00D111F5"/>
    <w:rsid w:val="00D22E16"/>
    <w:rsid w:val="00D33961"/>
    <w:rsid w:val="00D51366"/>
    <w:rsid w:val="00D56AFE"/>
    <w:rsid w:val="00D70EC2"/>
    <w:rsid w:val="00DA5147"/>
    <w:rsid w:val="00DD7076"/>
    <w:rsid w:val="00DE7444"/>
    <w:rsid w:val="00E05FBC"/>
    <w:rsid w:val="00E40B54"/>
    <w:rsid w:val="00E608C9"/>
    <w:rsid w:val="00EB3A73"/>
    <w:rsid w:val="00EC6DE2"/>
    <w:rsid w:val="00F13E98"/>
    <w:rsid w:val="00F21E2E"/>
    <w:rsid w:val="00F25192"/>
    <w:rsid w:val="00F30E7A"/>
    <w:rsid w:val="00F357B2"/>
    <w:rsid w:val="00FB1CC7"/>
    <w:rsid w:val="00FB24FC"/>
    <w:rsid w:val="00F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DFCF"/>
  <w15:chartTrackingRefBased/>
  <w15:docId w15:val="{A7FB7554-8FAD-49AD-92CB-BD4029AA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CC7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55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5500"/>
    <w:rPr>
      <w:rFonts w:ascii="Calibri" w:eastAsia="Calibri" w:hAnsi="Calibri" w:cs="Calibri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755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5500"/>
    <w:rPr>
      <w:rFonts w:ascii="Calibri" w:eastAsia="Calibri" w:hAnsi="Calibri" w:cs="Calibri"/>
      <w:kern w:val="0"/>
      <w14:ligatures w14:val="none"/>
    </w:rPr>
  </w:style>
  <w:style w:type="paragraph" w:styleId="Bezproreda">
    <w:name w:val="No Spacing"/>
    <w:uiPriority w:val="1"/>
    <w:qFormat/>
    <w:rsid w:val="00EB3A73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styleId="Reetkatablice">
    <w:name w:val="Table Grid"/>
    <w:basedOn w:val="Obinatablica"/>
    <w:uiPriority w:val="59"/>
    <w:rsid w:val="00C4152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C65E259E61C4D82E0B624B5ABA512" ma:contentTypeVersion="0" ma:contentTypeDescription="Create a new document." ma:contentTypeScope="" ma:versionID="ba527a98872a9d1ecb3e3b58c3fee7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9e72f157d9ddd2bc27250be84d9e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46731-0FCD-4CFE-8798-DD2E7A030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35C307-3CCF-4EB0-A380-0937C2788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8082F5-1081-4CC6-A58D-E2507CB25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Frantal</dc:creator>
  <cp:keywords/>
  <dc:description/>
  <cp:lastModifiedBy>Korisnik</cp:lastModifiedBy>
  <cp:revision>27</cp:revision>
  <cp:lastPrinted>2024-06-19T06:44:00Z</cp:lastPrinted>
  <dcterms:created xsi:type="dcterms:W3CDTF">2024-06-18T07:32:00Z</dcterms:created>
  <dcterms:modified xsi:type="dcterms:W3CDTF">2024-07-17T09:48:00Z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0x010100912C65E259E61C4D82E0B624B5ABA512</vt:lpwstr>
  </property>
</Properties>
</file>