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30" w:rsidRPr="004703A6" w:rsidRDefault="00A06430" w:rsidP="005910E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70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REPUBLIKA HRVATSKA </w:t>
      </w:r>
    </w:p>
    <w:p w:rsidR="00A06430" w:rsidRPr="004703A6" w:rsidRDefault="00A06430" w:rsidP="005910E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OSNOVNA ŠKOLA IVANSKA</w:t>
      </w:r>
    </w:p>
    <w:p w:rsidR="00A06430" w:rsidRPr="004703A6" w:rsidRDefault="00A06430" w:rsidP="005910E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Ulica Petra Preradovića 2, Ivanska </w:t>
      </w:r>
    </w:p>
    <w:p w:rsidR="00A06430" w:rsidRPr="004703A6" w:rsidRDefault="00A06430" w:rsidP="005910E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Tel.fax:043/227-560, 043/227-567</w:t>
      </w:r>
    </w:p>
    <w:p w:rsidR="00A06430" w:rsidRDefault="00A06430" w:rsidP="005910E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e-mail:ured@os-ivanska.skole.hr</w:t>
      </w:r>
    </w:p>
    <w:p w:rsidR="00B61400" w:rsidRDefault="00B61400" w:rsidP="00B614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400-04/24-01/02</w:t>
      </w:r>
    </w:p>
    <w:p w:rsidR="00B61400" w:rsidRDefault="00B61400" w:rsidP="00B614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2103-10-06-01-24-6</w:t>
      </w:r>
    </w:p>
    <w:p w:rsidR="00B61400" w:rsidRDefault="00B61400" w:rsidP="00B614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Ivanska, 30.07.2024.</w:t>
      </w:r>
    </w:p>
    <w:p w:rsidR="00101CD1" w:rsidRPr="005910EF" w:rsidRDefault="00101CD1" w:rsidP="00897A0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01CD1" w:rsidRPr="00243905" w:rsidRDefault="00897A04" w:rsidP="0024390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OBRAZLOŽENJE OPĆEG I POSEBNOG DIJELA</w:t>
      </w:r>
      <w:r w:rsidR="00325C20"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POLUGODIŠNJEG</w:t>
      </w:r>
      <w:r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IZVJEŠTAJA O IZVRŠENJU FINANCIJSKOG PLANA OŠ IVANSKA ZA 202</w:t>
      </w:r>
      <w:r w:rsidR="00325C20"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</w:t>
      </w:r>
      <w:r w:rsidR="00101CD1"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</w:p>
    <w:p w:rsidR="005910EF" w:rsidRPr="00243905" w:rsidRDefault="005910EF" w:rsidP="0024390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5758" w:rsidRPr="00243905" w:rsidRDefault="00C128AB" w:rsidP="00243905">
      <w:pPr>
        <w:pStyle w:val="box474667"/>
        <w:spacing w:before="0" w:beforeAutospacing="0" w:after="0" w:afterAutospacing="0" w:line="360" w:lineRule="auto"/>
        <w:ind w:left="720"/>
        <w:jc w:val="both"/>
        <w:textAlignment w:val="baseline"/>
        <w:rPr>
          <w:b/>
          <w:color w:val="000000" w:themeColor="text1"/>
        </w:rPr>
      </w:pPr>
      <w:r w:rsidRPr="00243905">
        <w:rPr>
          <w:b/>
          <w:color w:val="000000" w:themeColor="text1"/>
        </w:rPr>
        <w:t>UVOD</w:t>
      </w:r>
    </w:p>
    <w:p w:rsidR="005910EF" w:rsidRPr="00243905" w:rsidRDefault="005910EF" w:rsidP="00243905">
      <w:pPr>
        <w:pStyle w:val="box474667"/>
        <w:spacing w:before="0" w:beforeAutospacing="0" w:after="0" w:afterAutospacing="0" w:line="360" w:lineRule="auto"/>
        <w:ind w:left="720"/>
        <w:jc w:val="both"/>
        <w:textAlignment w:val="baseline"/>
        <w:rPr>
          <w:b/>
          <w:color w:val="000000" w:themeColor="text1"/>
        </w:rPr>
      </w:pPr>
    </w:p>
    <w:p w:rsidR="004703A6" w:rsidRPr="00243905" w:rsidRDefault="00B07553" w:rsidP="00243905">
      <w:pPr>
        <w:pStyle w:val="box474667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>Na temelju Zakona o proračunu (»Narodne novine«, broj 144/21.) donesen je Pravilnik o polugodišnjem i godišnjem izvještaju o izvršenju proračuna i financijskog plana</w:t>
      </w:r>
      <w:r w:rsidR="0053503A" w:rsidRPr="00243905">
        <w:rPr>
          <w:color w:val="000000" w:themeColor="text1"/>
        </w:rPr>
        <w:t xml:space="preserve"> </w:t>
      </w:r>
      <w:bookmarkStart w:id="1" w:name="_Hlk161210354"/>
      <w:r w:rsidRPr="00243905">
        <w:rPr>
          <w:color w:val="000000" w:themeColor="text1"/>
        </w:rPr>
        <w:t>(NN 085/2023)</w:t>
      </w:r>
      <w:bookmarkEnd w:id="1"/>
      <w:r w:rsidR="00897A04" w:rsidRPr="00243905">
        <w:rPr>
          <w:color w:val="000000" w:themeColor="text1"/>
        </w:rPr>
        <w:t xml:space="preserve">. Prema Pravilniku </w:t>
      </w:r>
      <w:r w:rsidR="00054AEF" w:rsidRPr="00243905">
        <w:rPr>
          <w:color w:val="000000" w:themeColor="text1"/>
        </w:rPr>
        <w:t>č</w:t>
      </w:r>
      <w:r w:rsidR="00897A04" w:rsidRPr="00243905">
        <w:rPr>
          <w:color w:val="000000" w:themeColor="text1"/>
        </w:rPr>
        <w:t>lanka 4. Polugodišnji izvještaj o izvršenju proračuna sadrži: opći dio, posebni dio, obrazloženje i posebne izvještaje.</w:t>
      </w:r>
    </w:p>
    <w:p w:rsidR="005207A1" w:rsidRPr="00243905" w:rsidRDefault="004703A6" w:rsidP="00243905">
      <w:pPr>
        <w:pStyle w:val="box474667"/>
        <w:shd w:val="clear" w:color="auto" w:fill="FFFFFF"/>
        <w:spacing w:before="34" w:beforeAutospacing="0" w:after="48" w:afterAutospacing="0" w:line="360" w:lineRule="auto"/>
        <w:jc w:val="both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>OŠ Ivanska je proračunski korisnik Bjelovarsko-bilogorske županije, a posluje</w:t>
      </w:r>
      <w:r w:rsidR="00977B99" w:rsidRPr="00243905">
        <w:rPr>
          <w:color w:val="000000" w:themeColor="text1"/>
        </w:rPr>
        <w:t xml:space="preserve"> preko </w:t>
      </w:r>
      <w:r w:rsidRPr="00243905">
        <w:rPr>
          <w:color w:val="000000" w:themeColor="text1"/>
        </w:rPr>
        <w:t xml:space="preserve">ustrojene Riznice. Po uputama </w:t>
      </w:r>
      <w:r w:rsidR="00977B99" w:rsidRPr="00243905">
        <w:rPr>
          <w:color w:val="000000" w:themeColor="text1"/>
        </w:rPr>
        <w:t>Osnivača</w:t>
      </w:r>
      <w:r w:rsidRPr="00243905">
        <w:rPr>
          <w:color w:val="000000" w:themeColor="text1"/>
        </w:rPr>
        <w:t xml:space="preserve"> evidentir</w:t>
      </w:r>
      <w:r w:rsidR="00977B99" w:rsidRPr="00243905">
        <w:rPr>
          <w:color w:val="000000" w:themeColor="text1"/>
        </w:rPr>
        <w:t>aju se</w:t>
      </w:r>
      <w:r w:rsidRPr="00243905">
        <w:rPr>
          <w:color w:val="000000" w:themeColor="text1"/>
        </w:rPr>
        <w:t xml:space="preserve"> poslovne promjene u dvije cjeline i to proračunska sredstva koja obuhvaćaju sredstva </w:t>
      </w:r>
      <w:r w:rsidR="00977B99" w:rsidRPr="00243905">
        <w:rPr>
          <w:color w:val="000000" w:themeColor="text1"/>
        </w:rPr>
        <w:t>Osnivača</w:t>
      </w:r>
      <w:r w:rsidRPr="00243905">
        <w:rPr>
          <w:color w:val="000000" w:themeColor="text1"/>
        </w:rPr>
        <w:t xml:space="preserve"> i vlastita sredstva koja obuhvaćaju sredstva državnog proračuna i vlastita sredstva Škole.</w:t>
      </w:r>
      <w:r w:rsidR="00123266" w:rsidRPr="00243905">
        <w:rPr>
          <w:color w:val="000000" w:themeColor="text1"/>
        </w:rPr>
        <w:t xml:space="preserve"> Polugodišnji </w:t>
      </w:r>
      <w:r w:rsidRPr="00243905">
        <w:rPr>
          <w:color w:val="000000" w:themeColor="text1"/>
        </w:rPr>
        <w:t xml:space="preserve">Izvještaj o izvršenju financijskog plana je izvještaj koji pokazuje kojim udjelom su ostvareni prihodi, primici, rashodi i izdaci u </w:t>
      </w:r>
      <w:r w:rsidR="00325C20" w:rsidRPr="00243905">
        <w:rPr>
          <w:color w:val="000000" w:themeColor="text1"/>
        </w:rPr>
        <w:t xml:space="preserve"> prvih šest mjeseci 2024</w:t>
      </w:r>
      <w:r w:rsidRPr="00243905">
        <w:rPr>
          <w:color w:val="000000" w:themeColor="text1"/>
        </w:rPr>
        <w:t>. godin</w:t>
      </w:r>
      <w:r w:rsidR="00325C20" w:rsidRPr="00243905">
        <w:rPr>
          <w:color w:val="000000" w:themeColor="text1"/>
        </w:rPr>
        <w:t>e</w:t>
      </w:r>
      <w:r w:rsidR="00123266" w:rsidRPr="00243905">
        <w:rPr>
          <w:color w:val="000000" w:themeColor="text1"/>
        </w:rPr>
        <w:t xml:space="preserve"> (od 01.01.2024. do 30.06.2024.)</w:t>
      </w:r>
      <w:r w:rsidRPr="00243905">
        <w:rPr>
          <w:color w:val="000000" w:themeColor="text1"/>
        </w:rPr>
        <w:t>, u odnosu na  Financijski plan za 202</w:t>
      </w:r>
      <w:r w:rsidR="00325C20" w:rsidRPr="00243905">
        <w:rPr>
          <w:color w:val="000000" w:themeColor="text1"/>
        </w:rPr>
        <w:t>4</w:t>
      </w:r>
      <w:r w:rsidRPr="00243905">
        <w:rPr>
          <w:color w:val="000000" w:themeColor="text1"/>
        </w:rPr>
        <w:t>. godinu.</w:t>
      </w:r>
      <w:r w:rsidRPr="00243905">
        <w:rPr>
          <w:color w:val="000000" w:themeColor="text1"/>
        </w:rPr>
        <w:tab/>
      </w:r>
    </w:p>
    <w:p w:rsidR="00054AEF" w:rsidRPr="00243905" w:rsidRDefault="004703A6" w:rsidP="00243905">
      <w:pPr>
        <w:pStyle w:val="box474667"/>
        <w:shd w:val="clear" w:color="auto" w:fill="FFFFFF"/>
        <w:spacing w:before="34" w:beforeAutospacing="0" w:after="48" w:afterAutospacing="0" w:line="360" w:lineRule="auto"/>
        <w:jc w:val="both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ab/>
      </w:r>
      <w:r w:rsidRPr="00243905">
        <w:rPr>
          <w:color w:val="000000" w:themeColor="text1"/>
        </w:rPr>
        <w:tab/>
      </w:r>
      <w:r w:rsidRPr="00243905">
        <w:rPr>
          <w:color w:val="000000" w:themeColor="text1"/>
        </w:rPr>
        <w:tab/>
      </w:r>
      <w:r w:rsidRPr="00243905">
        <w:rPr>
          <w:color w:val="000000" w:themeColor="text1"/>
        </w:rPr>
        <w:tab/>
      </w:r>
    </w:p>
    <w:p w:rsidR="00E35758" w:rsidRPr="00243905" w:rsidRDefault="00054AEF" w:rsidP="00243905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OBRAZLOŽENJE OPĆEG</w:t>
      </w:r>
      <w:r w:rsidR="00F66CFC"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DIJELA</w:t>
      </w:r>
      <w:r w:rsidR="00325C20"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POLUGODIŠNJEG</w:t>
      </w:r>
      <w:r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IZVJEŠTAJA O IZVRŠENJU FINANCIJSKOG PLANA OŠ IVANSKA ZA 202</w:t>
      </w:r>
      <w:r w:rsidR="00325C20"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</w:t>
      </w:r>
      <w:r w:rsidR="00101CD1"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</w:p>
    <w:p w:rsidR="005910EF" w:rsidRPr="00243905" w:rsidRDefault="005910EF" w:rsidP="00243905">
      <w:pPr>
        <w:pStyle w:val="Odlomakpopisa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204E" w:rsidRPr="00243905" w:rsidRDefault="00054AEF" w:rsidP="00243905">
      <w:pPr>
        <w:pStyle w:val="box47466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 w:rsidRPr="00243905">
        <w:rPr>
          <w:color w:val="000000" w:themeColor="text1"/>
        </w:rPr>
        <w:t>Prema Pravilniku o polugodišnjem i godišnjem izvještaju o izvršenju proračuna i</w:t>
      </w:r>
      <w:r w:rsidR="00C128AB" w:rsidRPr="00243905">
        <w:rPr>
          <w:color w:val="000000" w:themeColor="text1"/>
        </w:rPr>
        <w:t xml:space="preserve"> </w:t>
      </w:r>
      <w:r w:rsidRPr="00243905">
        <w:rPr>
          <w:color w:val="000000" w:themeColor="text1"/>
        </w:rPr>
        <w:t xml:space="preserve">financijskog plana </w:t>
      </w:r>
      <w:r w:rsidR="0053204E" w:rsidRPr="00243905">
        <w:rPr>
          <w:color w:val="000000" w:themeColor="text1"/>
        </w:rPr>
        <w:t xml:space="preserve">članka 5. </w:t>
      </w:r>
      <w:r w:rsidR="0053204E" w:rsidRPr="00243905">
        <w:rPr>
          <w:color w:val="231F20"/>
        </w:rPr>
        <w:t>opći dio sadrži:</w:t>
      </w:r>
    </w:p>
    <w:p w:rsidR="0053204E" w:rsidRPr="00243905" w:rsidRDefault="0053204E" w:rsidP="00243905">
      <w:pPr>
        <w:pStyle w:val="box474667"/>
        <w:shd w:val="clear" w:color="auto" w:fill="FFFFFF"/>
        <w:spacing w:before="0" w:beforeAutospacing="0" w:after="48" w:afterAutospacing="0" w:line="360" w:lineRule="auto"/>
        <w:ind w:firstLine="408"/>
        <w:textAlignment w:val="baseline"/>
        <w:rPr>
          <w:color w:val="231F20"/>
        </w:rPr>
      </w:pPr>
      <w:r w:rsidRPr="00243905">
        <w:rPr>
          <w:color w:val="231F20"/>
        </w:rPr>
        <w:t>– sažetak Računa prihoda i rashoda i Računa financiranja,</w:t>
      </w:r>
    </w:p>
    <w:p w:rsidR="0053204E" w:rsidRPr="00243905" w:rsidRDefault="0053204E" w:rsidP="00243905">
      <w:pPr>
        <w:pStyle w:val="box474667"/>
        <w:shd w:val="clear" w:color="auto" w:fill="FFFFFF"/>
        <w:spacing w:before="0" w:beforeAutospacing="0" w:after="48" w:afterAutospacing="0" w:line="360" w:lineRule="auto"/>
        <w:ind w:firstLine="408"/>
        <w:textAlignment w:val="baseline"/>
        <w:rPr>
          <w:color w:val="231F20"/>
        </w:rPr>
      </w:pPr>
      <w:r w:rsidRPr="00243905">
        <w:rPr>
          <w:color w:val="231F20"/>
        </w:rPr>
        <w:t>– Račun prihoda i rashoda i</w:t>
      </w:r>
    </w:p>
    <w:p w:rsidR="0053204E" w:rsidRPr="00243905" w:rsidRDefault="0053204E" w:rsidP="00243905">
      <w:pPr>
        <w:pStyle w:val="box474667"/>
        <w:shd w:val="clear" w:color="auto" w:fill="FFFFFF"/>
        <w:spacing w:before="0" w:beforeAutospacing="0" w:after="48" w:afterAutospacing="0" w:line="360" w:lineRule="auto"/>
        <w:ind w:firstLine="408"/>
        <w:textAlignment w:val="baseline"/>
        <w:rPr>
          <w:color w:val="231F20"/>
        </w:rPr>
      </w:pPr>
      <w:r w:rsidRPr="00243905">
        <w:rPr>
          <w:color w:val="231F20"/>
        </w:rPr>
        <w:t>– Račun financiranja.</w:t>
      </w:r>
    </w:p>
    <w:p w:rsidR="0077067B" w:rsidRDefault="00054AEF" w:rsidP="00243905">
      <w:pPr>
        <w:pStyle w:val="box474667"/>
        <w:shd w:val="clear" w:color="auto" w:fill="FFFFFF"/>
        <w:spacing w:before="34" w:beforeAutospacing="0" w:after="48" w:afterAutospacing="0" w:line="360" w:lineRule="auto"/>
        <w:jc w:val="both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>R</w:t>
      </w:r>
      <w:r w:rsidR="00B07553" w:rsidRPr="00243905">
        <w:rPr>
          <w:color w:val="000000" w:themeColor="text1"/>
        </w:rPr>
        <w:t>ačun prihoda i rashoda i Računa financiranja sadrži prikaz ukupno ostvarenih prihoda i primitaka te izvršenih rashoda i izdataka na razini razreda ekonomske klasifikacije te razliku između ukupno ostvarenih prihoda i rashoda te primitaka i izdataka.</w:t>
      </w:r>
      <w:r w:rsidR="004703A6" w:rsidRPr="00243905">
        <w:rPr>
          <w:color w:val="000000" w:themeColor="text1"/>
        </w:rPr>
        <w:t xml:space="preserve"> </w:t>
      </w:r>
      <w:r w:rsidR="0090185B" w:rsidRPr="00243905">
        <w:rPr>
          <w:color w:val="000000" w:themeColor="text1"/>
        </w:rPr>
        <w:t>Prihodi i primitci, rashodi i izdatci su uglavnom izvršeni u odnosu na Financijski plan za 202</w:t>
      </w:r>
      <w:r w:rsidR="00A02771" w:rsidRPr="00243905">
        <w:rPr>
          <w:color w:val="000000" w:themeColor="text1"/>
        </w:rPr>
        <w:t>4</w:t>
      </w:r>
      <w:r w:rsidR="0090185B" w:rsidRPr="00243905">
        <w:rPr>
          <w:color w:val="000000" w:themeColor="text1"/>
        </w:rPr>
        <w:t>.godinu</w:t>
      </w:r>
      <w:r w:rsidR="0077067B">
        <w:rPr>
          <w:color w:val="000000" w:themeColor="text1"/>
        </w:rPr>
        <w:t>.</w:t>
      </w:r>
      <w:r w:rsidR="0090185B" w:rsidRPr="00243905">
        <w:rPr>
          <w:color w:val="000000" w:themeColor="text1"/>
        </w:rPr>
        <w:t xml:space="preserve"> </w:t>
      </w:r>
    </w:p>
    <w:p w:rsidR="0090185B" w:rsidRPr="00243905" w:rsidRDefault="0090185B" w:rsidP="00243905">
      <w:pPr>
        <w:pStyle w:val="box474667"/>
        <w:shd w:val="clear" w:color="auto" w:fill="FFFFFF"/>
        <w:spacing w:before="34" w:beforeAutospacing="0" w:after="48" w:afterAutospacing="0" w:line="360" w:lineRule="auto"/>
        <w:jc w:val="both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>U izvještaju je vidljivo da su</w:t>
      </w:r>
      <w:r w:rsidR="0077067B">
        <w:rPr>
          <w:color w:val="000000" w:themeColor="text1"/>
        </w:rPr>
        <w:t>:</w:t>
      </w:r>
    </w:p>
    <w:p w:rsidR="00F66CFC" w:rsidRPr="00243905" w:rsidRDefault="00F66CFC" w:rsidP="00243905">
      <w:pPr>
        <w:pStyle w:val="box474667"/>
        <w:shd w:val="clear" w:color="auto" w:fill="FFFFFF"/>
        <w:spacing w:before="34" w:after="48" w:line="360" w:lineRule="auto"/>
        <w:jc w:val="both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lastRenderedPageBreak/>
        <w:t>Prihodi i primitci ukupno</w:t>
      </w:r>
      <w:r w:rsidR="00156F2F" w:rsidRPr="00243905">
        <w:rPr>
          <w:color w:val="000000" w:themeColor="text1"/>
        </w:rPr>
        <w:t xml:space="preserve"> su ostvareni 59,50</w:t>
      </w:r>
      <w:r w:rsidR="003A1300" w:rsidRPr="00243905">
        <w:rPr>
          <w:color w:val="000000" w:themeColor="text1"/>
        </w:rPr>
        <w:t xml:space="preserve">% </w:t>
      </w:r>
      <w:r w:rsidR="009A2AB4" w:rsidRPr="00243905">
        <w:rPr>
          <w:color w:val="000000" w:themeColor="text1"/>
        </w:rPr>
        <w:t xml:space="preserve"> Financijskog plana za 2024. godinu. </w:t>
      </w:r>
    </w:p>
    <w:p w:rsidR="00F66CFC" w:rsidRPr="00243905" w:rsidRDefault="00F66CFC" w:rsidP="00243905">
      <w:pPr>
        <w:pStyle w:val="box474667"/>
        <w:shd w:val="clear" w:color="auto" w:fill="FFFFFF"/>
        <w:spacing w:before="34" w:after="48" w:line="360" w:lineRule="auto"/>
        <w:jc w:val="both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 xml:space="preserve">Rashodi i izdatci ukupno </w:t>
      </w:r>
      <w:r w:rsidR="00156F2F" w:rsidRPr="00243905">
        <w:rPr>
          <w:color w:val="000000" w:themeColor="text1"/>
        </w:rPr>
        <w:t xml:space="preserve">su </w:t>
      </w:r>
      <w:r w:rsidR="003A1300" w:rsidRPr="00243905">
        <w:rPr>
          <w:color w:val="000000" w:themeColor="text1"/>
        </w:rPr>
        <w:t xml:space="preserve">ostvareni </w:t>
      </w:r>
      <w:r w:rsidR="00156F2F" w:rsidRPr="00243905">
        <w:rPr>
          <w:color w:val="000000" w:themeColor="text1"/>
        </w:rPr>
        <w:t>59,56</w:t>
      </w:r>
      <w:r w:rsidR="003A1300" w:rsidRPr="00243905">
        <w:rPr>
          <w:color w:val="000000" w:themeColor="text1"/>
        </w:rPr>
        <w:t xml:space="preserve"> % </w:t>
      </w:r>
      <w:r w:rsidR="009A2AB4" w:rsidRPr="00243905">
        <w:rPr>
          <w:color w:val="000000" w:themeColor="text1"/>
        </w:rPr>
        <w:t xml:space="preserve">Financijskog plana za 2024. godinu. </w:t>
      </w:r>
    </w:p>
    <w:p w:rsidR="0090185B" w:rsidRPr="00243905" w:rsidRDefault="0090185B" w:rsidP="00243905">
      <w:pPr>
        <w:pStyle w:val="box474667"/>
        <w:shd w:val="clear" w:color="auto" w:fill="FFFFFF"/>
        <w:spacing w:before="34" w:after="48" w:line="360" w:lineRule="auto"/>
        <w:jc w:val="both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 xml:space="preserve">Prihodi poslovanja </w:t>
      </w:r>
      <w:r w:rsidR="00156F2F" w:rsidRPr="00243905">
        <w:rPr>
          <w:color w:val="000000" w:themeColor="text1"/>
        </w:rPr>
        <w:t xml:space="preserve">ukupno ostvareni  59,50% </w:t>
      </w:r>
      <w:r w:rsidR="009A2AB4" w:rsidRPr="00243905">
        <w:rPr>
          <w:color w:val="000000" w:themeColor="text1"/>
        </w:rPr>
        <w:t xml:space="preserve">Financijskog plana za </w:t>
      </w:r>
      <w:r w:rsidR="00243905">
        <w:rPr>
          <w:color w:val="000000" w:themeColor="text1"/>
        </w:rPr>
        <w:t>2</w:t>
      </w:r>
      <w:r w:rsidR="009A2AB4" w:rsidRPr="00243905">
        <w:rPr>
          <w:color w:val="000000" w:themeColor="text1"/>
        </w:rPr>
        <w:t>024. godinu.</w:t>
      </w:r>
    </w:p>
    <w:p w:rsidR="00243905" w:rsidRDefault="0090185B" w:rsidP="00243905">
      <w:pPr>
        <w:pStyle w:val="box474667"/>
        <w:shd w:val="clear" w:color="auto" w:fill="FFFFFF"/>
        <w:spacing w:before="34" w:after="48" w:line="360" w:lineRule="auto"/>
        <w:jc w:val="both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 xml:space="preserve">Rashodi poslovanja </w:t>
      </w:r>
      <w:r w:rsidR="00156F2F" w:rsidRPr="00243905">
        <w:rPr>
          <w:color w:val="000000" w:themeColor="text1"/>
        </w:rPr>
        <w:t xml:space="preserve">ukupno su ostvareni 60,02 % </w:t>
      </w:r>
      <w:r w:rsidR="009A2AB4" w:rsidRPr="00243905">
        <w:rPr>
          <w:color w:val="000000" w:themeColor="text1"/>
        </w:rPr>
        <w:t xml:space="preserve">Financijskog plana za 2024. godinu. </w:t>
      </w:r>
    </w:p>
    <w:p w:rsidR="00891DAA" w:rsidRDefault="00891DAA" w:rsidP="00243905">
      <w:pPr>
        <w:pStyle w:val="box474667"/>
        <w:shd w:val="clear" w:color="auto" w:fill="FFFFFF"/>
        <w:spacing w:before="34" w:after="48" w:line="360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Rashodi za nabavu nefinancijske imovine 40,97% </w:t>
      </w:r>
      <w:r w:rsidRPr="00891DAA">
        <w:rPr>
          <w:color w:val="000000" w:themeColor="text1"/>
        </w:rPr>
        <w:t>Financijskog plana za 2024. godinu.</w:t>
      </w:r>
    </w:p>
    <w:p w:rsidR="00667EE8" w:rsidRPr="00243905" w:rsidRDefault="009A2AB4" w:rsidP="00243905">
      <w:pPr>
        <w:pStyle w:val="box474667"/>
        <w:shd w:val="clear" w:color="auto" w:fill="FFFFFF"/>
        <w:spacing w:before="34" w:after="48" w:line="360" w:lineRule="auto"/>
        <w:jc w:val="both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 xml:space="preserve">Iz prenesenog  viška ranijih godina u iznosu od  24.148,05 eura nabavljen je </w:t>
      </w:r>
      <w:r w:rsidR="00667EE8" w:rsidRPr="00243905">
        <w:rPr>
          <w:color w:val="000000" w:themeColor="text1"/>
        </w:rPr>
        <w:t xml:space="preserve">namještaj, plinski štednjak, te su pokrivene edukacije i stručna usavršavanja zaposlenika i njihova putovanja po Erasmus + projektu. </w:t>
      </w:r>
    </w:p>
    <w:p w:rsidR="00356DD8" w:rsidRPr="00243905" w:rsidRDefault="003B0D22" w:rsidP="00243905">
      <w:pPr>
        <w:pStyle w:val="box47466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>Obrazloženje sadrži i podatke o stanju novčanih sredstava na računima proračunskih korisnika</w:t>
      </w:r>
      <w:r w:rsidR="00A02771" w:rsidRPr="00243905">
        <w:rPr>
          <w:color w:val="000000" w:themeColor="text1"/>
        </w:rPr>
        <w:t xml:space="preserve">. </w:t>
      </w:r>
      <w:r w:rsidR="00356DD8" w:rsidRPr="00243905">
        <w:rPr>
          <w:color w:val="000000" w:themeColor="text1"/>
        </w:rPr>
        <w:t>Na početku izvještajnog razdoblj</w:t>
      </w:r>
      <w:r w:rsidR="009A2AB4" w:rsidRPr="00243905">
        <w:rPr>
          <w:color w:val="000000" w:themeColor="text1"/>
        </w:rPr>
        <w:t>a</w:t>
      </w:r>
      <w:r w:rsidR="00356DD8" w:rsidRPr="00243905">
        <w:rPr>
          <w:color w:val="000000" w:themeColor="text1"/>
        </w:rPr>
        <w:t xml:space="preserve"> 1.1.202</w:t>
      </w:r>
      <w:r w:rsidR="00A02771" w:rsidRPr="00243905">
        <w:rPr>
          <w:color w:val="000000" w:themeColor="text1"/>
        </w:rPr>
        <w:t>4</w:t>
      </w:r>
      <w:r w:rsidR="00356DD8" w:rsidRPr="00243905">
        <w:rPr>
          <w:color w:val="000000" w:themeColor="text1"/>
        </w:rPr>
        <w:t>. iznos novčanih sredstava je bio</w:t>
      </w:r>
      <w:r w:rsidR="00A02771" w:rsidRPr="00243905">
        <w:rPr>
          <w:color w:val="000000" w:themeColor="text1"/>
        </w:rPr>
        <w:t xml:space="preserve"> 26.204,46</w:t>
      </w:r>
      <w:r w:rsidR="00356DD8" w:rsidRPr="00243905">
        <w:rPr>
          <w:color w:val="000000" w:themeColor="text1"/>
        </w:rPr>
        <w:t xml:space="preserve"> eura, a dok </w:t>
      </w:r>
      <w:r w:rsidR="00A02771" w:rsidRPr="00243905">
        <w:rPr>
          <w:color w:val="000000" w:themeColor="text1"/>
        </w:rPr>
        <w:t>dana 30.06.</w:t>
      </w:r>
      <w:r w:rsidR="00356DD8" w:rsidRPr="00243905">
        <w:rPr>
          <w:color w:val="000000" w:themeColor="text1"/>
        </w:rPr>
        <w:t>202</w:t>
      </w:r>
      <w:r w:rsidR="00A02771" w:rsidRPr="00243905">
        <w:rPr>
          <w:color w:val="000000" w:themeColor="text1"/>
        </w:rPr>
        <w:t>4</w:t>
      </w:r>
      <w:r w:rsidR="00356DD8" w:rsidRPr="00243905">
        <w:rPr>
          <w:color w:val="000000" w:themeColor="text1"/>
        </w:rPr>
        <w:t>. iznos</w:t>
      </w:r>
      <w:r w:rsidR="00030B62" w:rsidRPr="00243905">
        <w:rPr>
          <w:color w:val="000000" w:themeColor="text1"/>
        </w:rPr>
        <w:t xml:space="preserve"> novčanih sredstava</w:t>
      </w:r>
      <w:r w:rsidR="00356DD8" w:rsidRPr="00243905">
        <w:rPr>
          <w:color w:val="000000" w:themeColor="text1"/>
        </w:rPr>
        <w:t xml:space="preserve"> na računu bio</w:t>
      </w:r>
      <w:r w:rsidR="00A02771" w:rsidRPr="00243905">
        <w:rPr>
          <w:color w:val="000000" w:themeColor="text1"/>
        </w:rPr>
        <w:t xml:space="preserve"> 7.169,20</w:t>
      </w:r>
      <w:r w:rsidR="00356DD8" w:rsidRPr="00243905">
        <w:rPr>
          <w:color w:val="000000" w:themeColor="text1"/>
        </w:rPr>
        <w:t xml:space="preserve"> eura. Novac na računu kod tuzemnih poslovnih banaka sastoji se od iznosa koji je ostvaren vlastitim prihodima i iznosa koji je namijenjen za potrebe Erasmus + projekta. </w:t>
      </w:r>
    </w:p>
    <w:p w:rsidR="005910EF" w:rsidRPr="00243905" w:rsidRDefault="005910EF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758" w:rsidRPr="00243905" w:rsidRDefault="003A62AF" w:rsidP="00243905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OBRAZLOŽENJE POSEBNOG DIJELA</w:t>
      </w:r>
      <w:r w:rsidR="00A02771"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POLUGODIŠNJEG </w:t>
      </w:r>
      <w:r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IZVJEŠTAJA O IZVRŠENJU FINANCIJSKOG PLANA OŠ IVANSKA ZA 202</w:t>
      </w:r>
      <w:r w:rsidR="00A02771"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GODIN</w:t>
      </w:r>
      <w:r w:rsidR="00101CD1" w:rsidRPr="00243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</w:p>
    <w:p w:rsidR="005910EF" w:rsidRPr="00243905" w:rsidRDefault="005910EF" w:rsidP="00243905">
      <w:pPr>
        <w:pStyle w:val="Odlomakpopisa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6CFC" w:rsidRPr="00243905" w:rsidRDefault="003A62AF" w:rsidP="00243905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Prema Pravilniku o polugodišnjem i godišnjem izvještaju o izvršenju proračuna i financijskog plana članka 22. </w:t>
      </w:r>
      <w:r w:rsidRPr="0024390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Obrazloženje posebnog dijela izvještaja o izvršenju proračuna za proračunsku godinu temelji se na obrazloženju financijskih planova proračunskih korisnika, a sadrži obrazloženje izvršenja programa koje se daje kroz obrazloženje izvršenja aktivnosti i projekata zajedno s ciljevima koji su ostvareni provedbom programa i pokazateljima uspješnosti realizacije tih ciljeva koji se sastoje od pokazatelja učinka i pokazatelja rezultata</w:t>
      </w:r>
      <w:r w:rsidR="00101CD1" w:rsidRPr="0024390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:rsidR="005910EF" w:rsidRPr="00243905" w:rsidRDefault="005910EF" w:rsidP="00243905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326CFC" w:rsidRPr="00243905" w:rsidRDefault="00C128AB" w:rsidP="00243905">
      <w:pPr>
        <w:pStyle w:val="Odlomakpopis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0E2" w:rsidRPr="00243905">
        <w:rPr>
          <w:rFonts w:ascii="Times New Roman" w:hAnsi="Times New Roman" w:cs="Times New Roman"/>
          <w:b/>
          <w:sz w:val="24"/>
          <w:szCs w:val="24"/>
        </w:rPr>
        <w:t xml:space="preserve">PROGRAM: </w:t>
      </w:r>
      <w:r w:rsidR="0099613A" w:rsidRPr="00243905">
        <w:rPr>
          <w:rFonts w:ascii="Times New Roman" w:hAnsi="Times New Roman" w:cs="Times New Roman"/>
          <w:b/>
          <w:sz w:val="24"/>
          <w:szCs w:val="24"/>
        </w:rPr>
        <w:t>P1 REDOVNE DJELATNOSTI</w:t>
      </w:r>
    </w:p>
    <w:p w:rsidR="005910EF" w:rsidRPr="00243905" w:rsidRDefault="005910EF" w:rsidP="00243905">
      <w:pPr>
        <w:pStyle w:val="Odlomakpopis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CFC" w:rsidRPr="00243905" w:rsidRDefault="0099613A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05">
        <w:rPr>
          <w:rFonts w:ascii="Times New Roman" w:hAnsi="Times New Roman" w:cs="Times New Roman"/>
          <w:sz w:val="24"/>
          <w:szCs w:val="24"/>
        </w:rPr>
        <w:t>Unutar programa je organizirana aktivnost Redovna djelatnost OŠ – vlastita sredstva.</w:t>
      </w:r>
    </w:p>
    <w:p w:rsidR="00326CFC" w:rsidRPr="00243905" w:rsidRDefault="00326CFC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E2" w:rsidRPr="00243905" w:rsidRDefault="0099613A" w:rsidP="00243905">
      <w:pPr>
        <w:pStyle w:val="Odlomakpopisa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05">
        <w:rPr>
          <w:rFonts w:ascii="Times New Roman" w:hAnsi="Times New Roman" w:cs="Times New Roman"/>
          <w:sz w:val="24"/>
          <w:szCs w:val="24"/>
        </w:rPr>
        <w:t>C</w:t>
      </w:r>
      <w:r w:rsidR="00C128AB" w:rsidRPr="00243905">
        <w:rPr>
          <w:rFonts w:ascii="Times New Roman" w:hAnsi="Times New Roman" w:cs="Times New Roman"/>
          <w:sz w:val="24"/>
          <w:szCs w:val="24"/>
        </w:rPr>
        <w:t>ILJ PROGRAMA</w:t>
      </w:r>
    </w:p>
    <w:p w:rsidR="005910EF" w:rsidRPr="00243905" w:rsidRDefault="005910EF" w:rsidP="00243905">
      <w:pPr>
        <w:pStyle w:val="Odlomakpopis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28AB" w:rsidRPr="00243905" w:rsidRDefault="0099613A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05">
        <w:rPr>
          <w:rFonts w:ascii="Times New Roman" w:hAnsi="Times New Roman" w:cs="Times New Roman"/>
          <w:sz w:val="24"/>
          <w:szCs w:val="24"/>
        </w:rPr>
        <w:t xml:space="preserve">Kod planiranja prihoda i rashoda planira se svrsishodna nabava opreme za rad  kroz uključenje vlastitih sredstava u osiguranje materijalne osnove rada, za što kvalitetniji rad i ugođaj unutar </w:t>
      </w:r>
      <w:r w:rsidRPr="00243905">
        <w:rPr>
          <w:rFonts w:ascii="Times New Roman" w:hAnsi="Times New Roman" w:cs="Times New Roman"/>
          <w:sz w:val="24"/>
          <w:szCs w:val="24"/>
        </w:rPr>
        <w:lastRenderedPageBreak/>
        <w:t>primarnog djelokruga rada škole, kako učenika/ca, tako i zaposlenika/ca.</w:t>
      </w:r>
      <w:r w:rsidR="000D1147" w:rsidRPr="00243905">
        <w:rPr>
          <w:rFonts w:ascii="Times New Roman" w:hAnsi="Times New Roman" w:cs="Times New Roman"/>
          <w:sz w:val="24"/>
          <w:szCs w:val="24"/>
        </w:rPr>
        <w:t xml:space="preserve"> </w:t>
      </w:r>
      <w:r w:rsidRPr="00243905">
        <w:rPr>
          <w:rFonts w:ascii="Times New Roman" w:hAnsi="Times New Roman" w:cs="Times New Roman"/>
          <w:sz w:val="24"/>
          <w:szCs w:val="24"/>
        </w:rPr>
        <w:t>Povećati interes učenika/ca za zdravu prehranu u školskoj kuhinji i povećati interes članova zajednice za sportske aktivnosti kroz zakup školsko-sportske dvorane.</w:t>
      </w:r>
      <w:r w:rsidR="000D1147" w:rsidRPr="00243905">
        <w:rPr>
          <w:rFonts w:ascii="Times New Roman" w:hAnsi="Times New Roman" w:cs="Times New Roman"/>
          <w:sz w:val="24"/>
          <w:szCs w:val="24"/>
        </w:rPr>
        <w:t xml:space="preserve"> </w:t>
      </w:r>
      <w:r w:rsidRPr="00243905">
        <w:rPr>
          <w:rFonts w:ascii="Times New Roman" w:hAnsi="Times New Roman" w:cs="Times New Roman"/>
          <w:sz w:val="24"/>
          <w:szCs w:val="24"/>
        </w:rPr>
        <w:t>Kroz izvannastavne aktivnosti i izvanučioničnu nastavu proširiti interese i znanje učenika/ca.</w:t>
      </w:r>
      <w:r w:rsidR="000D1147" w:rsidRPr="00243905">
        <w:rPr>
          <w:rFonts w:ascii="Times New Roman" w:hAnsi="Times New Roman" w:cs="Times New Roman"/>
          <w:sz w:val="24"/>
          <w:szCs w:val="24"/>
        </w:rPr>
        <w:t xml:space="preserve"> </w:t>
      </w:r>
      <w:r w:rsidRPr="00243905">
        <w:rPr>
          <w:rFonts w:ascii="Times New Roman" w:hAnsi="Times New Roman" w:cs="Times New Roman"/>
          <w:sz w:val="24"/>
          <w:szCs w:val="24"/>
        </w:rPr>
        <w:t>U ovaj program su uvrštene plaće i materijalna prava zaposlenih koji se financiraju iz državnog proračuna, te imaju za cilj pravedno nagraditi zaposlene za njihov kvalitetan rad u školi</w:t>
      </w:r>
      <w:r w:rsidR="00C128AB" w:rsidRPr="00243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CFC" w:rsidRPr="00243905" w:rsidRDefault="00326CFC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8AB" w:rsidRPr="00243905" w:rsidRDefault="00C128AB" w:rsidP="00243905">
      <w:pPr>
        <w:pStyle w:val="Odlomakpopisa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317796"/>
      <w:r w:rsidRPr="00243905">
        <w:rPr>
          <w:rFonts w:ascii="Times New Roman" w:hAnsi="Times New Roman" w:cs="Times New Roman"/>
          <w:sz w:val="24"/>
          <w:szCs w:val="24"/>
        </w:rPr>
        <w:t>IZVRŠENOST CILJA PROGRAMA</w:t>
      </w:r>
    </w:p>
    <w:p w:rsidR="005910EF" w:rsidRPr="00243905" w:rsidRDefault="005910EF" w:rsidP="00243905">
      <w:pPr>
        <w:pStyle w:val="Odlomakpopis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1245" w:rsidRPr="00243905" w:rsidRDefault="007C5806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Program P1</w:t>
      </w:r>
      <w:r w:rsidR="00101CD1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redovne djelatnosti </w:t>
      </w: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ostvarenje </w:t>
      </w:r>
      <w:r w:rsidR="00156F2F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62,16 % </w:t>
      </w:r>
      <w:r w:rsidR="009A2AB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Financijskog plana</w:t>
      </w:r>
      <w:r w:rsidR="00156F2F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 2024. godinu</w:t>
      </w:r>
      <w:r w:rsidR="009A2AB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390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0D1147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ilj programa je </w:t>
      </w:r>
      <w:r w:rsidR="00243905">
        <w:rPr>
          <w:rFonts w:ascii="Times New Roman" w:hAnsi="Times New Roman" w:cs="Times New Roman"/>
          <w:color w:val="000000" w:themeColor="text1"/>
          <w:sz w:val="24"/>
          <w:szCs w:val="24"/>
        </w:rPr>
        <w:t>izvršen</w:t>
      </w:r>
      <w:r w:rsidR="000D1147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prema njegovoj određenosti. </w:t>
      </w:r>
      <w:bookmarkEnd w:id="2"/>
      <w:r w:rsidR="00096BB7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Nabavljen je učionički namještaj  što će</w:t>
      </w:r>
      <w:r w:rsid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6BB7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pridonijeti nastavnom procesu. Uz navedeno nabavljen je štednjak za kvalitetniju pripremu školskog obroka u školskoj kuhinji. </w:t>
      </w:r>
      <w:r w:rsidR="00B9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Zaposlenici su dobili povećanje plaće s obzirom na podizanje koeficijenata </w:t>
      </w:r>
      <w:r w:rsidR="00B926FD" w:rsidRPr="00B9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njihov kvalitetan rad u školi. </w:t>
      </w:r>
    </w:p>
    <w:p w:rsidR="00096BB7" w:rsidRPr="00243905" w:rsidRDefault="00096BB7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245" w:rsidRPr="00243905" w:rsidRDefault="00E340E2" w:rsidP="00243905">
      <w:pPr>
        <w:pStyle w:val="Odlomakpopisa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3905">
        <w:rPr>
          <w:rFonts w:ascii="Times New Roman" w:hAnsi="Times New Roman" w:cs="Times New Roman"/>
          <w:b/>
          <w:sz w:val="24"/>
          <w:szCs w:val="24"/>
        </w:rPr>
        <w:t xml:space="preserve"> PROGRAM:</w:t>
      </w:r>
      <w:r w:rsidR="0099613A" w:rsidRPr="00243905">
        <w:rPr>
          <w:rFonts w:ascii="Times New Roman" w:hAnsi="Times New Roman" w:cs="Times New Roman"/>
          <w:b/>
          <w:sz w:val="24"/>
          <w:szCs w:val="24"/>
        </w:rPr>
        <w:t xml:space="preserve"> P14 OSNOVNOŠKOLSKO OBRAZOVANJE – DECENTRALIZACIJA</w:t>
      </w:r>
    </w:p>
    <w:p w:rsidR="005910EF" w:rsidRPr="00243905" w:rsidRDefault="005910EF" w:rsidP="00243905">
      <w:pPr>
        <w:pStyle w:val="Odlomakpopisa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7B99" w:rsidRPr="00243905" w:rsidRDefault="0099613A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05">
        <w:rPr>
          <w:rFonts w:ascii="Times New Roman" w:hAnsi="Times New Roman" w:cs="Times New Roman"/>
          <w:sz w:val="24"/>
          <w:szCs w:val="24"/>
        </w:rPr>
        <w:t>Unutar programa su organizirane aktivnosti i projekti: Redovna djelatnost OŠ – DEC, Investicijsko i tekuće održavanje u OŠ – DEC, Ulaganja u opremu osnovnog školstva – DEC.</w:t>
      </w:r>
    </w:p>
    <w:p w:rsidR="00326CFC" w:rsidRPr="00243905" w:rsidRDefault="00326CFC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E2" w:rsidRPr="00243905" w:rsidRDefault="0099613A" w:rsidP="00243905">
      <w:pPr>
        <w:pStyle w:val="Odlomakpopisa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05">
        <w:rPr>
          <w:rFonts w:ascii="Times New Roman" w:hAnsi="Times New Roman" w:cs="Times New Roman"/>
          <w:sz w:val="24"/>
          <w:szCs w:val="24"/>
        </w:rPr>
        <w:t>CILJ PROGRAMA</w:t>
      </w:r>
    </w:p>
    <w:p w:rsidR="0099613A" w:rsidRPr="00243905" w:rsidRDefault="0099613A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05">
        <w:rPr>
          <w:rFonts w:ascii="Times New Roman" w:hAnsi="Times New Roman" w:cs="Times New Roman"/>
          <w:sz w:val="24"/>
          <w:szCs w:val="24"/>
        </w:rPr>
        <w:t>Kroz redovne materijalne troškove škole koji se financiraju iz sredstava županijskog proračuna (osnivač Bjelovarsko-bilogorska županija), osigurati materijalnu osnovu za red</w:t>
      </w:r>
      <w:r w:rsidR="00BE77D4" w:rsidRPr="00243905">
        <w:rPr>
          <w:rFonts w:ascii="Times New Roman" w:hAnsi="Times New Roman" w:cs="Times New Roman"/>
          <w:sz w:val="24"/>
          <w:szCs w:val="24"/>
        </w:rPr>
        <w:t xml:space="preserve">ovno </w:t>
      </w:r>
      <w:r w:rsidRPr="00243905">
        <w:rPr>
          <w:rFonts w:ascii="Times New Roman" w:hAnsi="Times New Roman" w:cs="Times New Roman"/>
          <w:sz w:val="24"/>
          <w:szCs w:val="24"/>
        </w:rPr>
        <w:t>funkcioniranje</w:t>
      </w:r>
      <w:r w:rsidR="00BE77D4" w:rsidRPr="00243905">
        <w:rPr>
          <w:rFonts w:ascii="Times New Roman" w:hAnsi="Times New Roman" w:cs="Times New Roman"/>
          <w:sz w:val="24"/>
          <w:szCs w:val="24"/>
        </w:rPr>
        <w:t xml:space="preserve">. Ulaganja u </w:t>
      </w:r>
      <w:r w:rsidRPr="00243905">
        <w:rPr>
          <w:rFonts w:ascii="Times New Roman" w:hAnsi="Times New Roman" w:cs="Times New Roman"/>
          <w:sz w:val="24"/>
          <w:szCs w:val="24"/>
        </w:rPr>
        <w:t xml:space="preserve"> građevinsk</w:t>
      </w:r>
      <w:r w:rsidR="00BE77D4" w:rsidRPr="00243905">
        <w:rPr>
          <w:rFonts w:ascii="Times New Roman" w:hAnsi="Times New Roman" w:cs="Times New Roman"/>
          <w:sz w:val="24"/>
          <w:szCs w:val="24"/>
        </w:rPr>
        <w:t>e</w:t>
      </w:r>
      <w:r w:rsidRPr="00243905">
        <w:rPr>
          <w:rFonts w:ascii="Times New Roman" w:hAnsi="Times New Roman" w:cs="Times New Roman"/>
          <w:sz w:val="24"/>
          <w:szCs w:val="24"/>
        </w:rPr>
        <w:t xml:space="preserve"> obje</w:t>
      </w:r>
      <w:r w:rsidR="00BE77D4" w:rsidRPr="00243905">
        <w:rPr>
          <w:rFonts w:ascii="Times New Roman" w:hAnsi="Times New Roman" w:cs="Times New Roman"/>
          <w:sz w:val="24"/>
          <w:szCs w:val="24"/>
        </w:rPr>
        <w:t>kte i</w:t>
      </w:r>
      <w:r w:rsidRPr="00243905">
        <w:rPr>
          <w:rFonts w:ascii="Times New Roman" w:hAnsi="Times New Roman" w:cs="Times New Roman"/>
          <w:sz w:val="24"/>
          <w:szCs w:val="24"/>
        </w:rPr>
        <w:t xml:space="preserve"> oprem</w:t>
      </w:r>
      <w:r w:rsidR="00BE77D4" w:rsidRPr="00243905">
        <w:rPr>
          <w:rFonts w:ascii="Times New Roman" w:hAnsi="Times New Roman" w:cs="Times New Roman"/>
          <w:sz w:val="24"/>
          <w:szCs w:val="24"/>
        </w:rPr>
        <w:t xml:space="preserve">u, </w:t>
      </w:r>
      <w:r w:rsidRPr="00243905">
        <w:rPr>
          <w:rFonts w:ascii="Times New Roman" w:hAnsi="Times New Roman" w:cs="Times New Roman"/>
          <w:sz w:val="24"/>
          <w:szCs w:val="24"/>
        </w:rPr>
        <w:t xml:space="preserve"> kako kroz redovno održavanje, tako i kroz nabavu sredstava za rad i izgradnju novih objekata, te kroz</w:t>
      </w:r>
      <w:r w:rsidR="00BE77D4" w:rsidRPr="00243905">
        <w:rPr>
          <w:rFonts w:ascii="Times New Roman" w:hAnsi="Times New Roman" w:cs="Times New Roman"/>
          <w:sz w:val="24"/>
          <w:szCs w:val="24"/>
        </w:rPr>
        <w:t xml:space="preserve"> i</w:t>
      </w:r>
      <w:r w:rsidRPr="00243905">
        <w:rPr>
          <w:rFonts w:ascii="Times New Roman" w:hAnsi="Times New Roman" w:cs="Times New Roman"/>
          <w:sz w:val="24"/>
          <w:szCs w:val="24"/>
        </w:rPr>
        <w:t>nvesticijsko održavanje građevinskih objekata</w:t>
      </w:r>
      <w:r w:rsidR="00E340E2" w:rsidRPr="00243905">
        <w:rPr>
          <w:rFonts w:ascii="Times New Roman" w:hAnsi="Times New Roman" w:cs="Times New Roman"/>
          <w:sz w:val="24"/>
          <w:szCs w:val="24"/>
        </w:rPr>
        <w:t xml:space="preserve">. </w:t>
      </w:r>
      <w:r w:rsidRPr="00243905">
        <w:rPr>
          <w:rFonts w:ascii="Times New Roman" w:hAnsi="Times New Roman" w:cs="Times New Roman"/>
          <w:sz w:val="24"/>
          <w:szCs w:val="24"/>
        </w:rPr>
        <w:t>Povećati  upućivanje zaposlenika na stručna osposobljavanja. Poboljšati materijalnu osnova za redovan rad učitelja u nastavnom procesu.</w:t>
      </w:r>
    </w:p>
    <w:p w:rsidR="00326CFC" w:rsidRPr="00243905" w:rsidRDefault="00326CFC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E2" w:rsidRPr="00243905" w:rsidRDefault="00E340E2" w:rsidP="00243905">
      <w:pPr>
        <w:pStyle w:val="Odlomakpopisa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05">
        <w:rPr>
          <w:rFonts w:ascii="Times New Roman" w:hAnsi="Times New Roman" w:cs="Times New Roman"/>
          <w:sz w:val="24"/>
          <w:szCs w:val="24"/>
        </w:rPr>
        <w:t>IZVRŠENOST CILJA PROGRAMA</w:t>
      </w:r>
    </w:p>
    <w:p w:rsidR="005910EF" w:rsidRPr="00243905" w:rsidRDefault="005910EF" w:rsidP="00243905">
      <w:pPr>
        <w:pStyle w:val="Odlomakpopis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56F2F" w:rsidRPr="00243905" w:rsidRDefault="007C5806" w:rsidP="00B926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P14 Osnovnoškolsko obrazovanje-decentralizacija </w:t>
      </w:r>
      <w:r w:rsidR="00156F2F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ukupno ostvareni </w:t>
      </w:r>
      <w:r w:rsidR="00E94446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51,16</w:t>
      </w:r>
      <w:r w:rsidR="00156F2F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 w:rsidR="00B9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6BB7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Financijskog plana za 2024.</w:t>
      </w:r>
      <w:r w:rsidR="00E5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godinu</w:t>
      </w:r>
    </w:p>
    <w:p w:rsidR="00326CFC" w:rsidRPr="00243905" w:rsidRDefault="008A56E0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Općeniti c</w:t>
      </w:r>
      <w:r w:rsidR="00534D18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ilj programa je u većoj mjeri izvršen prema njegovoj određenosti. </w:t>
      </w:r>
      <w:r w:rsidR="00096BB7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34D18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sigurala su se materijalna sredstava u okviru decentraliziranih sredstava za redovno funkcioniranje, </w:t>
      </w:r>
      <w:r w:rsidR="00096BB7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</w:t>
      </w:r>
      <w:r w:rsidR="00534D18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redovno</w:t>
      </w:r>
      <w:r w:rsidR="00BE77D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investicijsko </w:t>
      </w:r>
      <w:r w:rsidR="00534D18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održavanje</w:t>
      </w:r>
      <w:r w:rsidR="00096BB7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postrojenja i opreme</w:t>
      </w:r>
      <w:r w:rsidR="00747DD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građevinskih objekata. </w:t>
      </w:r>
      <w:r w:rsidR="00096BB7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DD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ovog programa nabavljena je nematerijalna imovina ( komunikacijski ormar, zamrzivač i hladnjak). </w:t>
      </w:r>
    </w:p>
    <w:p w:rsidR="00243905" w:rsidRPr="00243905" w:rsidRDefault="00243905" w:rsidP="0024390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613A" w:rsidRPr="00243905" w:rsidRDefault="00E340E2" w:rsidP="00243905">
      <w:pPr>
        <w:pStyle w:val="Odlomakpopis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13A" w:rsidRPr="00243905">
        <w:rPr>
          <w:rFonts w:ascii="Times New Roman" w:hAnsi="Times New Roman" w:cs="Times New Roman"/>
          <w:b/>
          <w:sz w:val="24"/>
          <w:szCs w:val="24"/>
        </w:rPr>
        <w:t>PROGRAM: P15 OSNOVNOŠKOLSKO OBRAZOVANJE -  IZNAD STANDARDA</w:t>
      </w:r>
    </w:p>
    <w:p w:rsidR="005910EF" w:rsidRPr="00243905" w:rsidRDefault="005910EF" w:rsidP="00243905">
      <w:pPr>
        <w:pStyle w:val="Odlomakpopis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3A" w:rsidRPr="00243905" w:rsidRDefault="0099613A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05">
        <w:rPr>
          <w:rFonts w:ascii="Times New Roman" w:hAnsi="Times New Roman" w:cs="Times New Roman"/>
          <w:sz w:val="24"/>
          <w:szCs w:val="24"/>
        </w:rPr>
        <w:t>Unutar programa organizirane su slijedeće aktivnosti i projekti: Županijska natjecanja OŠ, Kulturne i javne djelatnosti , Osiguranje školskih zgrada Sufinanciranje e-tehničara, Školska shema, Školski medni dan, Erasmus+ i Pomoćnici u nastavi.</w:t>
      </w:r>
    </w:p>
    <w:p w:rsidR="00326CFC" w:rsidRPr="00243905" w:rsidRDefault="00326CFC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E2" w:rsidRPr="00243905" w:rsidRDefault="0099613A" w:rsidP="00243905">
      <w:pPr>
        <w:pStyle w:val="Odlomakpopisa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05">
        <w:rPr>
          <w:rFonts w:ascii="Times New Roman" w:hAnsi="Times New Roman" w:cs="Times New Roman"/>
          <w:sz w:val="24"/>
          <w:szCs w:val="24"/>
        </w:rPr>
        <w:t>CILJ PROGRAMA</w:t>
      </w:r>
    </w:p>
    <w:p w:rsidR="005910EF" w:rsidRPr="00243905" w:rsidRDefault="005910EF" w:rsidP="00243905">
      <w:pPr>
        <w:pStyle w:val="Odlomakpopis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910EF" w:rsidRPr="00243905" w:rsidRDefault="0099613A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05">
        <w:rPr>
          <w:rFonts w:ascii="Times New Roman" w:hAnsi="Times New Roman" w:cs="Times New Roman"/>
          <w:sz w:val="24"/>
          <w:szCs w:val="24"/>
        </w:rPr>
        <w:t xml:space="preserve">Poticati učenike i omogućiti materijalnu osnovu za sudjelovanje učenika na županijskim natjecanjima u znanju. </w:t>
      </w:r>
      <w:r w:rsidR="000D1147" w:rsidRPr="00243905">
        <w:rPr>
          <w:rFonts w:ascii="Times New Roman" w:hAnsi="Times New Roman" w:cs="Times New Roman"/>
          <w:sz w:val="24"/>
          <w:szCs w:val="24"/>
        </w:rPr>
        <w:t xml:space="preserve"> </w:t>
      </w:r>
      <w:r w:rsidRPr="00243905">
        <w:rPr>
          <w:rFonts w:ascii="Times New Roman" w:hAnsi="Times New Roman" w:cs="Times New Roman"/>
          <w:sz w:val="24"/>
          <w:szCs w:val="24"/>
        </w:rPr>
        <w:t>Usluge e-tehničara su neophodne zbog održavanja CARNET mreže i IKT opreme u školi.</w:t>
      </w:r>
      <w:r w:rsidR="000D1147" w:rsidRPr="00243905">
        <w:rPr>
          <w:rFonts w:ascii="Times New Roman" w:hAnsi="Times New Roman" w:cs="Times New Roman"/>
          <w:sz w:val="24"/>
          <w:szCs w:val="24"/>
        </w:rPr>
        <w:t xml:space="preserve"> </w:t>
      </w:r>
      <w:r w:rsidRPr="00243905">
        <w:rPr>
          <w:rFonts w:ascii="Times New Roman" w:hAnsi="Times New Roman" w:cs="Times New Roman"/>
          <w:sz w:val="24"/>
          <w:szCs w:val="24"/>
        </w:rPr>
        <w:t>Školska shema je EU projekt kojim se omogućuje dostupnost mlijeka i voća u prehrani učenika/ca,</w:t>
      </w:r>
      <w:r w:rsidR="000D1147" w:rsidRPr="00243905">
        <w:rPr>
          <w:rFonts w:ascii="Times New Roman" w:hAnsi="Times New Roman" w:cs="Times New Roman"/>
          <w:sz w:val="24"/>
          <w:szCs w:val="24"/>
        </w:rPr>
        <w:t xml:space="preserve"> </w:t>
      </w:r>
      <w:r w:rsidRPr="00243905">
        <w:rPr>
          <w:rFonts w:ascii="Times New Roman" w:hAnsi="Times New Roman" w:cs="Times New Roman"/>
          <w:sz w:val="24"/>
          <w:szCs w:val="24"/>
        </w:rPr>
        <w:t>Školski medni dan je EU projekt kojim se učenicima 1. razreda poklanja staklenka meda.</w:t>
      </w:r>
      <w:r w:rsidR="000D1147" w:rsidRPr="00243905">
        <w:rPr>
          <w:rFonts w:ascii="Times New Roman" w:hAnsi="Times New Roman" w:cs="Times New Roman"/>
          <w:sz w:val="24"/>
          <w:szCs w:val="24"/>
        </w:rPr>
        <w:t xml:space="preserve"> </w:t>
      </w:r>
      <w:r w:rsidRPr="00243905">
        <w:rPr>
          <w:rFonts w:ascii="Times New Roman" w:hAnsi="Times New Roman" w:cs="Times New Roman"/>
          <w:sz w:val="24"/>
          <w:szCs w:val="24"/>
        </w:rPr>
        <w:t>Erasmus+ je projekt EU u području općeg  obrazovanja i odgoja, a cilj je dodatno obrazovanje učitelja u inozemnim učilištima, kako bi svoje novo znanje prenijeli na svoja radna mjesta.</w:t>
      </w:r>
      <w:r w:rsidR="000D1147" w:rsidRPr="00243905">
        <w:rPr>
          <w:rFonts w:ascii="Times New Roman" w:hAnsi="Times New Roman" w:cs="Times New Roman"/>
          <w:sz w:val="24"/>
          <w:szCs w:val="24"/>
        </w:rPr>
        <w:t xml:space="preserve"> </w:t>
      </w:r>
      <w:r w:rsidRPr="00243905">
        <w:rPr>
          <w:rFonts w:ascii="Times New Roman" w:hAnsi="Times New Roman" w:cs="Times New Roman"/>
          <w:sz w:val="24"/>
          <w:szCs w:val="24"/>
        </w:rPr>
        <w:t>Pomoćnici u nastavi rade  sa učenicima kojima je potrebna pomoć u nastavi.</w:t>
      </w:r>
    </w:p>
    <w:p w:rsidR="005910EF" w:rsidRPr="00243905" w:rsidRDefault="005910EF" w:rsidP="0024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E2" w:rsidRPr="00243905" w:rsidRDefault="00E340E2" w:rsidP="00243905">
      <w:pPr>
        <w:pStyle w:val="Odlomakpopisa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05">
        <w:rPr>
          <w:rFonts w:ascii="Times New Roman" w:hAnsi="Times New Roman" w:cs="Times New Roman"/>
          <w:sz w:val="24"/>
          <w:szCs w:val="24"/>
        </w:rPr>
        <w:t>IZVRŠENOST CILJA PROGRAMA</w:t>
      </w:r>
    </w:p>
    <w:p w:rsidR="005910EF" w:rsidRPr="00243905" w:rsidRDefault="005910EF" w:rsidP="00243905">
      <w:pPr>
        <w:pStyle w:val="Odlomakpopis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4D18" w:rsidRPr="00243905" w:rsidRDefault="000D1147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</w:t>
      </w:r>
      <w:r w:rsidR="00534D18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P15 Osnovnoškolsko obrazovanje-iznad standarda </w:t>
      </w:r>
      <w:r w:rsidR="00E94446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ukupno ostvareni </w:t>
      </w:r>
      <w:r w:rsidR="008820C0">
        <w:rPr>
          <w:rFonts w:ascii="Times New Roman" w:hAnsi="Times New Roman" w:cs="Times New Roman"/>
          <w:color w:val="000000" w:themeColor="text1"/>
          <w:sz w:val="24"/>
          <w:szCs w:val="24"/>
        </w:rPr>
        <w:t>32,96</w:t>
      </w:r>
      <w:r w:rsidR="00747DD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% Financijskog plana za 2024.</w:t>
      </w:r>
      <w:r w:rsidR="00B9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godinu.</w:t>
      </w:r>
    </w:p>
    <w:p w:rsidR="00E94446" w:rsidRPr="00243905" w:rsidRDefault="00E44D63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A000289 Županijska natjecanja ostvaren</w:t>
      </w:r>
      <w:r w:rsidR="00B9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su </w:t>
      </w:r>
      <w:r w:rsidR="00E94446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82,95 % </w:t>
      </w:r>
      <w:r w:rsidR="00747DD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Financijskog plana za 2024.</w:t>
      </w:r>
      <w:r w:rsidR="00243905">
        <w:rPr>
          <w:rFonts w:ascii="Times New Roman" w:hAnsi="Times New Roman" w:cs="Times New Roman"/>
          <w:color w:val="000000" w:themeColor="text1"/>
          <w:sz w:val="24"/>
          <w:szCs w:val="24"/>
        </w:rPr>
        <w:t>godinu.</w:t>
      </w:r>
    </w:p>
    <w:p w:rsidR="00E44D63" w:rsidRPr="00243905" w:rsidRDefault="00E44D63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A000296 Kulturne i javne djelatnosti ostvare</w:t>
      </w:r>
      <w:r w:rsidR="00B926FD">
        <w:rPr>
          <w:rFonts w:ascii="Times New Roman" w:hAnsi="Times New Roman" w:cs="Times New Roman"/>
          <w:color w:val="000000" w:themeColor="text1"/>
          <w:sz w:val="24"/>
          <w:szCs w:val="24"/>
        </w:rPr>
        <w:t>no je</w:t>
      </w: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446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47DD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% Financijskog plana za 2024.</w:t>
      </w:r>
      <w:r w:rsidR="00243905">
        <w:rPr>
          <w:rFonts w:ascii="Times New Roman" w:hAnsi="Times New Roman" w:cs="Times New Roman"/>
          <w:color w:val="000000" w:themeColor="text1"/>
          <w:sz w:val="24"/>
          <w:szCs w:val="24"/>
        </w:rPr>
        <w:t>godinu.</w:t>
      </w:r>
    </w:p>
    <w:p w:rsidR="00E44D63" w:rsidRPr="00243905" w:rsidRDefault="00E44D63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A000298 Osiguranje školskih zgrada Osnovnih škola </w:t>
      </w:r>
      <w:r w:rsidR="00B926FD">
        <w:rPr>
          <w:rFonts w:ascii="Times New Roman" w:hAnsi="Times New Roman" w:cs="Times New Roman"/>
          <w:color w:val="000000" w:themeColor="text1"/>
          <w:sz w:val="24"/>
          <w:szCs w:val="24"/>
        </w:rPr>
        <w:t>ostvareno je</w:t>
      </w: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446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47DD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% Financijskog plana za 2024.</w:t>
      </w:r>
      <w:r w:rsidR="00243905">
        <w:rPr>
          <w:rFonts w:ascii="Times New Roman" w:hAnsi="Times New Roman" w:cs="Times New Roman"/>
          <w:color w:val="000000" w:themeColor="text1"/>
          <w:sz w:val="24"/>
          <w:szCs w:val="24"/>
        </w:rPr>
        <w:t>godinu.</w:t>
      </w:r>
    </w:p>
    <w:p w:rsidR="00747DD4" w:rsidRPr="00243905" w:rsidRDefault="00E44D63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A000299 Sufinanciranje E-tehničara u Osnovnim školama </w:t>
      </w:r>
      <w:r w:rsidR="00E94446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ostvareno 47,79%</w:t>
      </w:r>
      <w:r w:rsidR="00B9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DD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Financijskog plana za 2024.</w:t>
      </w:r>
      <w:r w:rsid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godinu.</w:t>
      </w:r>
    </w:p>
    <w:p w:rsidR="00E94446" w:rsidRPr="00243905" w:rsidRDefault="00E44D63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T000102 Školska shema -O</w:t>
      </w:r>
      <w:r w:rsidR="0004732D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 </w:t>
      </w:r>
      <w:r w:rsidR="00B926FD">
        <w:rPr>
          <w:rFonts w:ascii="Times New Roman" w:hAnsi="Times New Roman" w:cs="Times New Roman"/>
          <w:color w:val="000000" w:themeColor="text1"/>
          <w:sz w:val="24"/>
          <w:szCs w:val="24"/>
        </w:rPr>
        <w:t>ostvareno je</w:t>
      </w:r>
      <w:r w:rsidR="00E94446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72,09 % </w:t>
      </w:r>
      <w:r w:rsidR="00747DD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bookmarkStart w:id="3" w:name="_Hlk172102337"/>
      <w:r w:rsidR="00747DD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Financijskog plana za 2024.</w:t>
      </w:r>
      <w:r w:rsid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godinu.</w:t>
      </w:r>
    </w:p>
    <w:bookmarkEnd w:id="3"/>
    <w:p w:rsidR="00E44D63" w:rsidRPr="00243905" w:rsidRDefault="00E44D63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T000105 Školski medni dan </w:t>
      </w:r>
      <w:r w:rsidR="0004732D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ostvaren</w:t>
      </w:r>
      <w:r w:rsidR="00B926FD">
        <w:rPr>
          <w:rFonts w:ascii="Times New Roman" w:hAnsi="Times New Roman" w:cs="Times New Roman"/>
          <w:color w:val="000000" w:themeColor="text1"/>
          <w:sz w:val="24"/>
          <w:szCs w:val="24"/>
        </w:rPr>
        <w:t>o je</w:t>
      </w:r>
      <w:r w:rsidR="0004732D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446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47DD4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% Financijskog plana za 2024.</w:t>
      </w:r>
      <w:r w:rsid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godinu.</w:t>
      </w:r>
    </w:p>
    <w:p w:rsidR="00243905" w:rsidRPr="00243905" w:rsidRDefault="0004732D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T000170 Pomoćnici u nastavi OŠ, Faza VI., ostvaren</w:t>
      </w:r>
      <w:r w:rsidR="00E94446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9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="00E94446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99,99% </w:t>
      </w:r>
      <w:r w:rsidR="00243905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Financijskog plana za 2024.</w:t>
      </w:r>
      <w:r w:rsid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godinu.</w:t>
      </w:r>
    </w:p>
    <w:p w:rsidR="00243905" w:rsidRPr="00243905" w:rsidRDefault="00E94446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T000169 Erasmus + K1 u području općeg odgoja i obrazovanja  ukupno ostvareno</w:t>
      </w:r>
      <w:r w:rsidR="00B9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905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24,95%</w:t>
      </w: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905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Financijskog plana za 2024. godinu.</w:t>
      </w:r>
    </w:p>
    <w:p w:rsidR="005D3CC1" w:rsidRPr="00243905" w:rsidRDefault="0004732D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Učenici su bili na županijskim natjecanjima. Sredstvima po projektu Školske sheme učenici su dobili mlijeko i voće. </w:t>
      </w:r>
      <w:r w:rsidR="0029300B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Prema projektu osigurana je pomoćnica za učenika kojemu je potrebna pomoć u </w:t>
      </w:r>
      <w:r w:rsidR="00030B62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9300B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astavi. </w:t>
      </w:r>
      <w:r w:rsidR="00B926FD">
        <w:rPr>
          <w:rFonts w:ascii="Times New Roman" w:hAnsi="Times New Roman" w:cs="Times New Roman"/>
          <w:color w:val="000000" w:themeColor="text1"/>
          <w:sz w:val="24"/>
          <w:szCs w:val="24"/>
        </w:rPr>
        <w:t>U okviru Erasmus + projekta z</w:t>
      </w:r>
      <w:r w:rsidR="005D3CC1" w:rsidRPr="00243905">
        <w:rPr>
          <w:rFonts w:ascii="Times New Roman" w:hAnsi="Times New Roman" w:cs="Times New Roman"/>
          <w:color w:val="000000" w:themeColor="text1"/>
          <w:sz w:val="24"/>
          <w:szCs w:val="24"/>
        </w:rPr>
        <w:t>aposlenici su odlazili na stručna usavršavanja, s ciljem bolje osposobljenosti kako bi se poboljšao nastavni proces.  U okviru ovog programa poboljšala se materijalna osnova za redovan rad učitelja u nastavnom procesu.</w:t>
      </w:r>
    </w:p>
    <w:p w:rsidR="00E35758" w:rsidRPr="00243905" w:rsidRDefault="00E35758" w:rsidP="002439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4B0" w:rsidRPr="00243905" w:rsidRDefault="00CF64B0" w:rsidP="0024390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_Hlk171325590"/>
    </w:p>
    <w:p w:rsidR="009E7B4C" w:rsidRPr="00243905" w:rsidRDefault="009E7B4C" w:rsidP="0024390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3905">
        <w:rPr>
          <w:rFonts w:ascii="Times New Roman" w:hAnsi="Times New Roman" w:cs="Times New Roman"/>
          <w:b/>
          <w:sz w:val="24"/>
          <w:szCs w:val="24"/>
        </w:rPr>
        <w:t xml:space="preserve">ZAKLJUČAK </w:t>
      </w:r>
    </w:p>
    <w:p w:rsidR="005910EF" w:rsidRPr="00243905" w:rsidRDefault="005910EF" w:rsidP="002439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2E7" w:rsidRPr="00243905" w:rsidRDefault="005207A1" w:rsidP="00243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05">
        <w:rPr>
          <w:rFonts w:ascii="Times New Roman" w:hAnsi="Times New Roman" w:cs="Times New Roman"/>
          <w:sz w:val="24"/>
          <w:szCs w:val="24"/>
        </w:rPr>
        <w:t>Pokazatelji uspješnosti svih navedenih aktivnosti raspoređenih u navedene programe su</w:t>
      </w:r>
      <w:r w:rsidR="0029300B" w:rsidRPr="00243905">
        <w:rPr>
          <w:rFonts w:ascii="Times New Roman" w:hAnsi="Times New Roman" w:cs="Times New Roman"/>
          <w:sz w:val="24"/>
          <w:szCs w:val="24"/>
        </w:rPr>
        <w:t xml:space="preserve"> </w:t>
      </w:r>
      <w:r w:rsidRPr="00243905">
        <w:rPr>
          <w:rFonts w:ascii="Times New Roman" w:hAnsi="Times New Roman" w:cs="Times New Roman"/>
          <w:sz w:val="24"/>
          <w:szCs w:val="24"/>
        </w:rPr>
        <w:t xml:space="preserve">uspjesi učenika, redovito održavanje sjednica Školskog odbora i ostalih sjednica.  </w:t>
      </w:r>
      <w:r w:rsidR="009E7B4C" w:rsidRPr="00243905">
        <w:rPr>
          <w:rFonts w:ascii="Times New Roman" w:eastAsia="Times New Roman" w:hAnsi="Times New Roman" w:cs="Times New Roman"/>
          <w:sz w:val="24"/>
          <w:szCs w:val="24"/>
        </w:rPr>
        <w:t>U školskog godini 202</w:t>
      </w:r>
      <w:r w:rsidR="00177178" w:rsidRPr="002439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7B4C" w:rsidRPr="00243905">
        <w:rPr>
          <w:rFonts w:ascii="Times New Roman" w:eastAsia="Times New Roman" w:hAnsi="Times New Roman" w:cs="Times New Roman"/>
          <w:sz w:val="24"/>
          <w:szCs w:val="24"/>
        </w:rPr>
        <w:t>./202</w:t>
      </w:r>
      <w:r w:rsidR="00177178" w:rsidRPr="0024390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E7B4C" w:rsidRPr="002439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7178" w:rsidRPr="00243905">
        <w:rPr>
          <w:rFonts w:ascii="Times New Roman" w:eastAsia="Times New Roman" w:hAnsi="Times New Roman" w:cs="Times New Roman"/>
          <w:sz w:val="24"/>
          <w:szCs w:val="24"/>
        </w:rPr>
        <w:t>179</w:t>
      </w:r>
      <w:r w:rsidR="009E7B4C" w:rsidRPr="00243905">
        <w:rPr>
          <w:rFonts w:ascii="Times New Roman" w:eastAsia="Times New Roman" w:hAnsi="Times New Roman" w:cs="Times New Roman"/>
          <w:sz w:val="24"/>
          <w:szCs w:val="24"/>
        </w:rPr>
        <w:t xml:space="preserve"> učenika završilo je razred s pozitivnim uspjehom. U</w:t>
      </w:r>
      <w:r w:rsidR="00E35758" w:rsidRPr="00243905">
        <w:rPr>
          <w:rFonts w:ascii="Times New Roman" w:eastAsia="Times New Roman" w:hAnsi="Times New Roman" w:cs="Times New Roman"/>
          <w:sz w:val="24"/>
          <w:szCs w:val="24"/>
        </w:rPr>
        <w:t xml:space="preserve"> školskog godini</w:t>
      </w:r>
      <w:r w:rsidR="009E7B4C" w:rsidRPr="0024390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77178" w:rsidRPr="002439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7B4C" w:rsidRPr="00243905">
        <w:rPr>
          <w:rFonts w:ascii="Times New Roman" w:eastAsia="Times New Roman" w:hAnsi="Times New Roman" w:cs="Times New Roman"/>
          <w:sz w:val="24"/>
          <w:szCs w:val="24"/>
        </w:rPr>
        <w:t>./202</w:t>
      </w:r>
      <w:r w:rsidR="00177178" w:rsidRPr="0024390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5758" w:rsidRPr="002439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7B4C" w:rsidRPr="00243905">
        <w:rPr>
          <w:rFonts w:ascii="Times New Roman" w:eastAsia="Times New Roman" w:hAnsi="Times New Roman" w:cs="Times New Roman"/>
          <w:sz w:val="24"/>
          <w:szCs w:val="24"/>
        </w:rPr>
        <w:t xml:space="preserve"> učenici su postigli značajne rezultate. Na školskim natjecanjima sudjelovalo je </w:t>
      </w:r>
      <w:r w:rsidR="00177178" w:rsidRPr="00243905">
        <w:rPr>
          <w:rFonts w:ascii="Times New Roman" w:eastAsia="Times New Roman" w:hAnsi="Times New Roman" w:cs="Times New Roman"/>
          <w:sz w:val="24"/>
          <w:szCs w:val="24"/>
        </w:rPr>
        <w:t>oko 120</w:t>
      </w:r>
      <w:r w:rsidR="009E7B4C" w:rsidRPr="00243905">
        <w:rPr>
          <w:rFonts w:ascii="Times New Roman" w:eastAsia="Times New Roman" w:hAnsi="Times New Roman" w:cs="Times New Roman"/>
          <w:sz w:val="24"/>
          <w:szCs w:val="24"/>
        </w:rPr>
        <w:t xml:space="preserve"> učenika. Na školskoj razini održana su natjecanja iz hrvatskog jezika, engleskog jezika, matematike, vjeronauka, geografije, povijesti, kemije, biologije, natjecanje u poznavanju prometnih i sigurnosnih pravila i upravljanja biciklom „Sigurno u prometu“, natjecanje mladih tehničara, natjecanje iz čitanja na glas</w:t>
      </w:r>
      <w:r w:rsidR="00177178" w:rsidRPr="002439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7B4C" w:rsidRPr="00243905">
        <w:rPr>
          <w:rFonts w:ascii="Times New Roman" w:eastAsia="Times New Roman" w:hAnsi="Times New Roman" w:cs="Times New Roman"/>
          <w:sz w:val="24"/>
          <w:szCs w:val="24"/>
        </w:rPr>
        <w:t xml:space="preserve"> te natjecanje</w:t>
      </w:r>
      <w:r w:rsidR="00177178" w:rsidRPr="00243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B4C" w:rsidRPr="00243905">
        <w:rPr>
          <w:rFonts w:ascii="Times New Roman" w:eastAsia="Times New Roman" w:hAnsi="Times New Roman" w:cs="Times New Roman"/>
          <w:sz w:val="24"/>
          <w:szCs w:val="24"/>
        </w:rPr>
        <w:t xml:space="preserve">Čitanjem do zvijezda. </w:t>
      </w:r>
    </w:p>
    <w:bookmarkEnd w:id="4"/>
    <w:p w:rsidR="003A62AF" w:rsidRPr="00243905" w:rsidRDefault="00977B99" w:rsidP="00243905">
      <w:pPr>
        <w:pStyle w:val="box474667"/>
        <w:shd w:val="clear" w:color="auto" w:fill="FFFFFF"/>
        <w:spacing w:before="34" w:beforeAutospacing="0" w:after="48" w:afterAutospacing="0" w:line="360" w:lineRule="auto"/>
        <w:jc w:val="center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 xml:space="preserve">                                                                                        Ravnateljica:</w:t>
      </w:r>
    </w:p>
    <w:p w:rsidR="00977B99" w:rsidRPr="00243905" w:rsidRDefault="00977B99" w:rsidP="00243905">
      <w:pPr>
        <w:pStyle w:val="box474667"/>
        <w:shd w:val="clear" w:color="auto" w:fill="FFFFFF"/>
        <w:spacing w:before="34" w:beforeAutospacing="0" w:after="48" w:afterAutospacing="0" w:line="360" w:lineRule="auto"/>
        <w:jc w:val="right"/>
        <w:textAlignment w:val="baseline"/>
        <w:rPr>
          <w:color w:val="000000" w:themeColor="text1"/>
        </w:rPr>
      </w:pPr>
    </w:p>
    <w:p w:rsidR="00977B99" w:rsidRPr="00243905" w:rsidRDefault="00977B99" w:rsidP="00243905">
      <w:pPr>
        <w:pStyle w:val="box474667"/>
        <w:shd w:val="clear" w:color="auto" w:fill="FFFFFF"/>
        <w:spacing w:before="34" w:beforeAutospacing="0" w:after="48" w:afterAutospacing="0" w:line="360" w:lineRule="auto"/>
        <w:jc w:val="right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>_______________________________</w:t>
      </w:r>
    </w:p>
    <w:p w:rsidR="003C6EDE" w:rsidRPr="00521F5F" w:rsidRDefault="00977B99" w:rsidP="00243905">
      <w:pPr>
        <w:pStyle w:val="box474667"/>
        <w:shd w:val="clear" w:color="auto" w:fill="FFFFFF"/>
        <w:spacing w:before="34" w:beforeAutospacing="0" w:after="48" w:afterAutospacing="0" w:line="360" w:lineRule="auto"/>
        <w:jc w:val="center"/>
        <w:textAlignment w:val="baseline"/>
        <w:rPr>
          <w:color w:val="000000" w:themeColor="text1"/>
        </w:rPr>
      </w:pPr>
      <w:r w:rsidRPr="00243905">
        <w:rPr>
          <w:color w:val="000000" w:themeColor="text1"/>
        </w:rPr>
        <w:t xml:space="preserve">                                                                                            Sunči</w:t>
      </w:r>
      <w:r>
        <w:rPr>
          <w:color w:val="000000" w:themeColor="text1"/>
        </w:rPr>
        <w:t>ca Đuričić – Kocijan dipl.uč</w:t>
      </w:r>
      <w:r w:rsidR="00521F5F">
        <w:rPr>
          <w:color w:val="000000" w:themeColor="text1"/>
        </w:rPr>
        <w:t>.</w:t>
      </w:r>
    </w:p>
    <w:sectPr w:rsidR="003C6EDE" w:rsidRPr="00521F5F" w:rsidSect="005910EF">
      <w:footerReference w:type="default" r:id="rId7"/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B37" w:rsidRDefault="00700B37" w:rsidP="0099613A">
      <w:pPr>
        <w:spacing w:after="0" w:line="240" w:lineRule="auto"/>
      </w:pPr>
      <w:r>
        <w:separator/>
      </w:r>
    </w:p>
  </w:endnote>
  <w:endnote w:type="continuationSeparator" w:id="0">
    <w:p w:rsidR="00700B37" w:rsidRDefault="00700B37" w:rsidP="0099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061810"/>
      <w:docPartObj>
        <w:docPartGallery w:val="Page Numbers (Bottom of Page)"/>
        <w:docPartUnique/>
      </w:docPartObj>
    </w:sdtPr>
    <w:sdtEndPr/>
    <w:sdtContent>
      <w:p w:rsidR="0099613A" w:rsidRDefault="009961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613A" w:rsidRDefault="009961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B37" w:rsidRDefault="00700B37" w:rsidP="0099613A">
      <w:pPr>
        <w:spacing w:after="0" w:line="240" w:lineRule="auto"/>
      </w:pPr>
      <w:r>
        <w:separator/>
      </w:r>
    </w:p>
  </w:footnote>
  <w:footnote w:type="continuationSeparator" w:id="0">
    <w:p w:rsidR="00700B37" w:rsidRDefault="00700B37" w:rsidP="0099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60A9D"/>
    <w:multiLevelType w:val="hybridMultilevel"/>
    <w:tmpl w:val="46DCF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13D8D"/>
    <w:multiLevelType w:val="multilevel"/>
    <w:tmpl w:val="B3B4A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F5370B"/>
    <w:multiLevelType w:val="multilevel"/>
    <w:tmpl w:val="B3B4A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53"/>
    <w:rsid w:val="00030B62"/>
    <w:rsid w:val="0004732D"/>
    <w:rsid w:val="00054AEF"/>
    <w:rsid w:val="00081F3C"/>
    <w:rsid w:val="00096BB7"/>
    <w:rsid w:val="000D1147"/>
    <w:rsid w:val="000E2976"/>
    <w:rsid w:val="00101CD1"/>
    <w:rsid w:val="00123266"/>
    <w:rsid w:val="001314BA"/>
    <w:rsid w:val="00156F2F"/>
    <w:rsid w:val="001611B2"/>
    <w:rsid w:val="00177178"/>
    <w:rsid w:val="00197A0A"/>
    <w:rsid w:val="0021370E"/>
    <w:rsid w:val="00243905"/>
    <w:rsid w:val="0025021E"/>
    <w:rsid w:val="0029300B"/>
    <w:rsid w:val="00325C20"/>
    <w:rsid w:val="00326CFC"/>
    <w:rsid w:val="00356DD8"/>
    <w:rsid w:val="00392C4A"/>
    <w:rsid w:val="003A1300"/>
    <w:rsid w:val="003A62AF"/>
    <w:rsid w:val="003B0D22"/>
    <w:rsid w:val="003C6EDE"/>
    <w:rsid w:val="00412C1F"/>
    <w:rsid w:val="004244D3"/>
    <w:rsid w:val="00441C06"/>
    <w:rsid w:val="004703A6"/>
    <w:rsid w:val="00470986"/>
    <w:rsid w:val="00477F2A"/>
    <w:rsid w:val="005207A1"/>
    <w:rsid w:val="00521F5F"/>
    <w:rsid w:val="005314DF"/>
    <w:rsid w:val="0053204E"/>
    <w:rsid w:val="00534D18"/>
    <w:rsid w:val="0053503A"/>
    <w:rsid w:val="005910EF"/>
    <w:rsid w:val="005A4B28"/>
    <w:rsid w:val="005C6077"/>
    <w:rsid w:val="005D30FD"/>
    <w:rsid w:val="005D3CC1"/>
    <w:rsid w:val="00646E8F"/>
    <w:rsid w:val="00651122"/>
    <w:rsid w:val="006602E7"/>
    <w:rsid w:val="00667EE8"/>
    <w:rsid w:val="00673618"/>
    <w:rsid w:val="00687D13"/>
    <w:rsid w:val="006910C1"/>
    <w:rsid w:val="006C1245"/>
    <w:rsid w:val="00700B37"/>
    <w:rsid w:val="007267E3"/>
    <w:rsid w:val="00747DD4"/>
    <w:rsid w:val="00762026"/>
    <w:rsid w:val="0077067B"/>
    <w:rsid w:val="00791A25"/>
    <w:rsid w:val="007C5806"/>
    <w:rsid w:val="007D59F1"/>
    <w:rsid w:val="008820C0"/>
    <w:rsid w:val="00891DAA"/>
    <w:rsid w:val="00897A04"/>
    <w:rsid w:val="008A56E0"/>
    <w:rsid w:val="0090185B"/>
    <w:rsid w:val="00904109"/>
    <w:rsid w:val="00977B99"/>
    <w:rsid w:val="0099613A"/>
    <w:rsid w:val="009A1824"/>
    <w:rsid w:val="009A2AB4"/>
    <w:rsid w:val="009C0B13"/>
    <w:rsid w:val="009E7B4C"/>
    <w:rsid w:val="00A02771"/>
    <w:rsid w:val="00A06430"/>
    <w:rsid w:val="00A1442E"/>
    <w:rsid w:val="00AA4AC1"/>
    <w:rsid w:val="00B07553"/>
    <w:rsid w:val="00B61400"/>
    <w:rsid w:val="00B926FD"/>
    <w:rsid w:val="00BB0995"/>
    <w:rsid w:val="00BE77D4"/>
    <w:rsid w:val="00C128AB"/>
    <w:rsid w:val="00C249F9"/>
    <w:rsid w:val="00CA3F96"/>
    <w:rsid w:val="00CC3345"/>
    <w:rsid w:val="00CE2EAB"/>
    <w:rsid w:val="00CF64B0"/>
    <w:rsid w:val="00D41FBA"/>
    <w:rsid w:val="00D53758"/>
    <w:rsid w:val="00DA315D"/>
    <w:rsid w:val="00DB3F4F"/>
    <w:rsid w:val="00DE6B9C"/>
    <w:rsid w:val="00E05732"/>
    <w:rsid w:val="00E340E2"/>
    <w:rsid w:val="00E35758"/>
    <w:rsid w:val="00E40D6B"/>
    <w:rsid w:val="00E44D63"/>
    <w:rsid w:val="00E53DC5"/>
    <w:rsid w:val="00E94446"/>
    <w:rsid w:val="00EC681E"/>
    <w:rsid w:val="00EE637C"/>
    <w:rsid w:val="00F66CFC"/>
    <w:rsid w:val="00F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FC2B8-FF47-4D98-9292-8197183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4667">
    <w:name w:val="box_474667"/>
    <w:basedOn w:val="Normal"/>
    <w:rsid w:val="00B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07553"/>
    <w:rPr>
      <w:color w:val="0000FF"/>
      <w:u w:val="single"/>
    </w:rPr>
  </w:style>
  <w:style w:type="table" w:styleId="Reetkatablice">
    <w:name w:val="Table Grid"/>
    <w:basedOn w:val="Obinatablica"/>
    <w:uiPriority w:val="59"/>
    <w:rsid w:val="00081F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96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613A"/>
  </w:style>
  <w:style w:type="paragraph" w:styleId="Podnoje">
    <w:name w:val="footer"/>
    <w:basedOn w:val="Normal"/>
    <w:link w:val="PodnojeChar"/>
    <w:uiPriority w:val="99"/>
    <w:unhideWhenUsed/>
    <w:rsid w:val="00996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613A"/>
  </w:style>
  <w:style w:type="paragraph" w:styleId="Odlomakpopisa">
    <w:name w:val="List Paragraph"/>
    <w:basedOn w:val="Normal"/>
    <w:uiPriority w:val="34"/>
    <w:qFormat/>
    <w:rsid w:val="00C128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B9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61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cp:lastPrinted>2024-07-17T07:58:00Z</cp:lastPrinted>
  <dcterms:created xsi:type="dcterms:W3CDTF">2024-07-17T09:44:00Z</dcterms:created>
  <dcterms:modified xsi:type="dcterms:W3CDTF">2024-07-17T09:44:00Z</dcterms:modified>
</cp:coreProperties>
</file>